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58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89"/>
        <w:gridCol w:w="5954"/>
      </w:tblGrid>
      <w:tr>
        <w:tblPrEx>
          <w:shd w:val="clear" w:color="auto" w:fill="ced7e7"/>
        </w:tblPrEx>
        <w:trPr>
          <w:trHeight w:val="1512" w:hRule="atLeast"/>
        </w:trPr>
        <w:tc>
          <w:tcPr>
            <w:tcW w:type="dxa" w:w="98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9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uto"/>
              <w:jc w:val="right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7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righ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к муниципальной программе муниципального образования Ломоносовский муниципальный район Ленинградской области </w:t>
            </w:r>
          </w:p>
          <w:p>
            <w:pPr>
              <w:pStyle w:val="Обычный"/>
              <w:bidi w:val="0"/>
              <w:spacing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  <w:lang w:val="ru-RU"/>
              </w:rPr>
              <w:t>«Развитие малого и среднего предпринимательства в Ломоносовском муниципальном районе»</w:t>
            </w:r>
          </w:p>
        </w:tc>
      </w:tr>
    </w:tbl>
    <w:p>
      <w:pPr>
        <w:pStyle w:val="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</w:p>
    <w:p>
      <w:pPr>
        <w:pStyle w:val="Обычный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Обычный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Отчет</w:t>
      </w:r>
    </w:p>
    <w:p>
      <w:pPr>
        <w:pStyle w:val="Обычный"/>
        <w:widowControl w:val="0"/>
        <w:spacing w:after="0" w:line="240" w:lineRule="auto"/>
        <w:jc w:val="center"/>
        <w:rPr>
          <w:rStyle w:val="Hyperlink.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о реализации  муниципальной программы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"Par797"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&lt;12&gt;</w:t>
      </w:r>
      <w:r>
        <w:rPr/>
        <w:fldChar w:fldCharType="end" w:fldLock="0"/>
      </w:r>
    </w:p>
    <w:p>
      <w:pPr>
        <w:pStyle w:val="ConsPlusNonformat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 xml:space="preserve">      Наименование муниципальной программы</w:t>
      </w:r>
      <w:r>
        <w:rPr>
          <w:rStyle w:val="Нет"/>
          <w:rFonts w:ascii="Times New Roman" w:hAnsi="Times New Roman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sz w:val="26"/>
          <w:szCs w:val="26"/>
          <w:u w:val="single"/>
          <w:rtl w:val="0"/>
          <w:lang w:val="ru-RU"/>
        </w:rPr>
        <w:t>Развитие малого и среднего предпринимательства в Ломоносовском муниципальном районе</w:t>
      </w:r>
      <w:r>
        <w:rPr>
          <w:rStyle w:val="Нет"/>
          <w:rFonts w:ascii="Times New Roman" w:hAnsi="Times New Roman"/>
          <w:rtl w:val="0"/>
          <w:lang w:val="ru-RU"/>
        </w:rPr>
        <w:t xml:space="preserve">      </w:t>
      </w:r>
    </w:p>
    <w:p>
      <w:pPr>
        <w:pStyle w:val="ConsPlusNonformat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Отчетный период</w:t>
      </w:r>
      <w:r>
        <w:rPr>
          <w:rStyle w:val="Нет"/>
          <w:rFonts w:ascii="Times New Roman" w:hAnsi="Times New Roman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январь </w:t>
      </w:r>
      <w:r>
        <w:rPr>
          <w:rStyle w:val="Нет"/>
          <w:rFonts w:ascii="Times New Roman" w:hAnsi="Times New Roman"/>
          <w:rtl w:val="0"/>
          <w:lang w:val="ru-RU"/>
        </w:rPr>
        <w:t xml:space="preserve">-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июнь </w:t>
      </w:r>
      <w:r>
        <w:rPr>
          <w:rStyle w:val="Нет"/>
          <w:rFonts w:ascii="Times New Roman" w:hAnsi="Times New Roman"/>
          <w:rtl w:val="0"/>
          <w:lang w:val="ru-RU"/>
        </w:rPr>
        <w:t xml:space="preserve">2016 </w:t>
      </w:r>
      <w:r>
        <w:rPr>
          <w:rStyle w:val="Нет"/>
          <w:rFonts w:ascii="Times New Roman" w:hAnsi="Times New Roman" w:hint="default"/>
          <w:rtl w:val="0"/>
          <w:lang w:val="ru-RU"/>
        </w:rPr>
        <w:t>года</w:t>
      </w:r>
    </w:p>
    <w:p>
      <w:pPr>
        <w:pStyle w:val="ConsPlusNonformat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 xml:space="preserve">      Ответственный исполнитель</w:t>
      </w:r>
      <w:r>
        <w:rPr>
          <w:rStyle w:val="Нет"/>
          <w:rFonts w:ascii="Times New Roman" w:hAnsi="Times New Roman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отдел экономического развития и инвестиций</w:t>
      </w:r>
    </w:p>
    <w:tbl>
      <w:tblPr>
        <w:tblW w:w="158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9"/>
        <w:gridCol w:w="2052"/>
        <w:gridCol w:w="2087"/>
        <w:gridCol w:w="1143"/>
        <w:gridCol w:w="1412"/>
        <w:gridCol w:w="756"/>
        <w:gridCol w:w="756"/>
        <w:gridCol w:w="756"/>
        <w:gridCol w:w="648"/>
        <w:gridCol w:w="756"/>
        <w:gridCol w:w="756"/>
        <w:gridCol w:w="756"/>
        <w:gridCol w:w="648"/>
        <w:gridCol w:w="756"/>
        <w:gridCol w:w="756"/>
        <w:gridCol w:w="756"/>
        <w:gridCol w:w="648"/>
      </w:tblGrid>
      <w:tr>
        <w:tblPrEx>
          <w:shd w:val="clear" w:color="auto" w:fill="ced7e7"/>
        </w:tblPrEx>
        <w:trPr>
          <w:trHeight w:val="1542" w:hRule="atLeast"/>
        </w:trPr>
        <w:tc>
          <w:tcPr>
            <w:tcW w:type="dxa" w:w="3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 N  </w:t>
            </w:r>
          </w:p>
        </w:tc>
        <w:tc>
          <w:tcPr>
            <w:tcW w:type="dxa" w:w="20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Наименование ВЦП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,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   основного 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 мероприятия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  мероприятия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   основного 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 мероприятия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мероприятия ВЦП </w:t>
            </w:r>
          </w:p>
        </w:tc>
        <w:tc>
          <w:tcPr>
            <w:tcW w:type="dxa" w:w="208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Ответ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ствен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ный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испол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нитель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ОИВ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) </w:t>
            </w:r>
          </w:p>
        </w:tc>
        <w:tc>
          <w:tcPr>
            <w:tcW w:type="dxa" w:w="114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Фактическая дата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начала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реализации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мероприятия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квартал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год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)  </w:t>
            </w:r>
          </w:p>
        </w:tc>
        <w:tc>
          <w:tcPr>
            <w:tcW w:type="dxa" w:w="14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Фактическая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дата окончания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реализации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мероприятия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квартал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год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)  </w:t>
            </w:r>
          </w:p>
        </w:tc>
        <w:tc>
          <w:tcPr>
            <w:tcW w:type="dxa" w:w="291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   План расходов  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   на реализацию  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  муниципальной 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программы в отчетном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  году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тыс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  </w:t>
            </w:r>
          </w:p>
        </w:tc>
        <w:tc>
          <w:tcPr>
            <w:tcW w:type="dxa" w:w="291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89"/>
            </w:tcMar>
            <w:vAlign w:val="top"/>
          </w:tcPr>
          <w:p>
            <w:pPr>
              <w:pStyle w:val="ConsPlusCell"/>
              <w:spacing w:after="240" w:line="240" w:lineRule="auto"/>
              <w:ind w:right="809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Фактическое исполнение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расходов на отчетную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 дату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нарастающим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 итогом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тыс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</w:p>
        </w:tc>
        <w:tc>
          <w:tcPr>
            <w:tcW w:type="dxa" w:w="291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Выполнено на отчетную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 дату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нарастающим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  итогом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тыс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руб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.  </w:t>
            </w:r>
          </w:p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3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8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4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4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Феде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раль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ный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бюд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жет  </w:t>
            </w:r>
          </w:p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Обла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стной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бюд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жет  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Мест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ные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бюд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жет </w:t>
            </w:r>
          </w:p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чие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точ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ники</w:t>
            </w:r>
          </w:p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Феде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раль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ный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бюд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жет  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Обла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стной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бюд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жет  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Мест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ные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бюд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жет </w:t>
            </w:r>
          </w:p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чие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точ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ники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Феде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раль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ный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бюд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жет  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Обла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стной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бюд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жет  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Мест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ные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бюд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жет </w:t>
            </w:r>
          </w:p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24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чие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-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точ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ники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 1  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       2        </w:t>
            </w:r>
          </w:p>
        </w:tc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 3   </w:t>
            </w:r>
          </w:p>
        </w:tc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 4   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 5   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 6  </w:t>
            </w:r>
          </w:p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 7  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 8  </w:t>
            </w:r>
          </w:p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9  </w:t>
            </w:r>
          </w:p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10  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11  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12  </w:t>
            </w:r>
          </w:p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13 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14  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15  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16  </w:t>
            </w:r>
          </w:p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 17 </w:t>
            </w:r>
          </w:p>
        </w:tc>
      </w:tr>
      <w:tr>
        <w:tblPrEx>
          <w:shd w:val="clear" w:color="auto" w:fill="ced7e7"/>
        </w:tblPrEx>
        <w:trPr>
          <w:trHeight w:val="1542" w:hRule="atLeast"/>
        </w:trPr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Содействие в доступе субъектов малого и среднего предпринимательства  к финансовым и материальным ресурсам</w:t>
            </w:r>
          </w:p>
        </w:tc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5833"/>
              </w:tabs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Отдел экономического развития и инвестиций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 </w:t>
            </w:r>
          </w:p>
          <w:p>
            <w:pPr>
              <w:pStyle w:val="Обычный"/>
              <w:tabs>
                <w:tab w:val="left" w:pos="5833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ЛФУР «Бизнес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центр»</w:t>
            </w:r>
          </w:p>
        </w:tc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 2016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4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.2016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0" w:hRule="atLeast"/>
        </w:trPr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Организационно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консультационная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информационная поддержка развития малого предпринимательства</w:t>
            </w:r>
          </w:p>
        </w:tc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5833"/>
              </w:tabs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Отдел экономического развития и инвестиций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 </w:t>
            </w:r>
          </w:p>
          <w:p>
            <w:pPr>
              <w:pStyle w:val="ConsPlusCell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ЛФУР «Бизнес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центр»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комитет по управлению муниципальным имуществом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;</w:t>
            </w:r>
            <w:r>
              <w:rPr>
                <w:rStyle w:val="Нет"/>
                <w:rFonts w:ascii="Calibri" w:cs="Calibri" w:hAnsi="Calibri" w:eastAsia="Calibri"/>
                <w:sz w:val="22"/>
                <w:szCs w:val="22"/>
                <w:rtl w:val="0"/>
                <w:lang w:val="ru-RU"/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;</w:t>
            </w:r>
            <w:r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</w:rPr>
            </w:r>
          </w:p>
        </w:tc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 2016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4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.2016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575</w:t>
            </w:r>
          </w:p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73,9</w:t>
            </w:r>
          </w:p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73,9</w:t>
            </w:r>
          </w:p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Ресурсная поддержка развития малого предпринимательства</w:t>
            </w:r>
          </w:p>
        </w:tc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5833"/>
              </w:tabs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Отдел экономического развития и инвестиций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 </w:t>
            </w:r>
          </w:p>
          <w:p>
            <w:pPr>
              <w:pStyle w:val="ConsPlusCell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ЛФУР «Бизнес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центр»</w:t>
            </w:r>
          </w:p>
        </w:tc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 2016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4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.2016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100</w:t>
            </w:r>
          </w:p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0</w:t>
            </w:r>
          </w:p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Развитие инфраструктуры поддержки предпринимательства</w:t>
            </w:r>
          </w:p>
        </w:tc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5833"/>
              </w:tabs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Отдел экономического развития и инвестиций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 </w:t>
            </w:r>
          </w:p>
          <w:p>
            <w:pPr>
              <w:pStyle w:val="Обычный"/>
              <w:tabs>
                <w:tab w:val="left" w:pos="5833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ЛФУР «Бизнес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центр»</w:t>
            </w:r>
          </w:p>
        </w:tc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 2016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4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.2016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Мониторинг развития малого и среднего предпринимательства</w:t>
            </w:r>
          </w:p>
        </w:tc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5833"/>
              </w:tabs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Отдел экономического развития и инвестиций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 </w:t>
            </w:r>
          </w:p>
        </w:tc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 2016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4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.2016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Кадровое обеспечение малого и среднего предпринимательства</w:t>
            </w:r>
          </w:p>
        </w:tc>
        <w:tc>
          <w:tcPr>
            <w:tcW w:type="dxa" w:w="2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tabs>
                <w:tab w:val="left" w:pos="5833"/>
              </w:tabs>
              <w:spacing w:after="0" w:line="240" w:lineRule="auto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Отдел экономического развития и инвестиций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;  </w:t>
            </w:r>
          </w:p>
          <w:p>
            <w:pPr>
              <w:pStyle w:val="ConsPlusCell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ЛФУР «Бизнес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центр»</w:t>
            </w:r>
          </w:p>
        </w:tc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 2016</w:t>
            </w:r>
          </w:p>
        </w:tc>
        <w:tc>
          <w:tcPr>
            <w:tcW w:type="dxa" w:w="1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4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кв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.2016</w:t>
            </w:r>
          </w:p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widowControl w:val="0"/>
        <w:spacing w:after="0" w:line="240" w:lineRule="auto"/>
        <w:ind w:firstLine="540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Начальник отдела экономического развития и инвестиций</w:t>
        <w:tab/>
        <w:tab/>
        <w:tab/>
        <w:tab/>
        <w:tab/>
        <w:tab/>
        <w:tab/>
        <w:tab/>
        <w:tab/>
        <w:t>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Перова</w:t>
      </w: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widowControl w:val="0"/>
        <w:spacing w:after="0" w:line="240" w:lineRule="auto"/>
        <w:ind w:firstLine="540"/>
        <w:jc w:val="both"/>
        <w:rPr>
          <w:rStyle w:val="Hyperlink.0"/>
        </w:rPr>
      </w:pPr>
      <w:r>
        <w:rPr>
          <w:rStyle w:val="Hyperlink.0"/>
          <w:rtl w:val="0"/>
          <w:lang w:val="ru-RU"/>
        </w:rPr>
        <w:t>Исп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Д</w:t>
      </w:r>
      <w:r>
        <w:rPr>
          <w:rStyle w:val="Hyperlink.0"/>
          <w:rtl w:val="0"/>
          <w:lang w:val="ru-RU"/>
        </w:rPr>
        <w:t>.</w:t>
      </w:r>
      <w:r>
        <w:rPr>
          <w:rStyle w:val="Hyperlink.0"/>
          <w:rtl w:val="0"/>
          <w:lang w:val="ru-RU"/>
        </w:rPr>
        <w:t>В</w:t>
      </w:r>
      <w:r>
        <w:rPr>
          <w:rStyle w:val="Hyperlink.0"/>
          <w:rtl w:val="0"/>
          <w:lang w:val="ru-RU"/>
        </w:rPr>
        <w:t>.</w:t>
      </w:r>
      <w:r>
        <w:rPr>
          <w:rStyle w:val="Hyperlink.0"/>
          <w:rtl w:val="0"/>
          <w:lang w:val="ru-RU"/>
        </w:rPr>
        <w:t>Бутаков</w:t>
      </w:r>
    </w:p>
    <w:p>
      <w:pPr>
        <w:pStyle w:val="Обычный"/>
        <w:widowControl w:val="0"/>
        <w:spacing w:after="0" w:line="240" w:lineRule="auto"/>
        <w:ind w:firstLine="540"/>
        <w:jc w:val="both"/>
        <w:rPr>
          <w:rStyle w:val="Hyperlink.0"/>
        </w:rPr>
      </w:pPr>
      <w:r>
        <w:rPr>
          <w:rStyle w:val="Hyperlink.0"/>
          <w:rtl w:val="0"/>
          <w:lang w:val="ru-RU"/>
        </w:rPr>
        <w:t>423-50-04</w:t>
      </w: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widowControl w:val="0"/>
        <w:spacing w:after="0" w:line="240" w:lineRule="auto"/>
        <w:ind w:firstLine="540"/>
        <w:jc w:val="both"/>
        <w:sectPr>
          <w:headerReference w:type="default" r:id="rId4"/>
          <w:footerReference w:type="default" r:id="rId5"/>
          <w:pgSz w:w="16840" w:h="11900" w:orient="landscape"/>
          <w:pgMar w:top="1134" w:right="1701" w:bottom="709" w:left="850" w:header="709" w:footer="709"/>
          <w:bidi w:val="0"/>
        </w:sectPr>
      </w:pPr>
    </w:p>
    <w:tbl>
      <w:tblPr>
        <w:tblW w:w="100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95"/>
        <w:gridCol w:w="4536"/>
      </w:tblGrid>
      <w:tr>
        <w:tblPrEx>
          <w:shd w:val="clear" w:color="auto" w:fill="ced7e7"/>
        </w:tblPrEx>
        <w:trPr>
          <w:trHeight w:val="1512" w:hRule="atLeast"/>
        </w:trPr>
        <w:tc>
          <w:tcPr>
            <w:tcW w:type="dxa" w:w="54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uto"/>
              <w:jc w:val="right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ПРИЛОЖЕНИЕ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8</w:t>
            </w:r>
          </w:p>
          <w:p>
            <w:pPr>
              <w:pStyle w:val="Обычный"/>
              <w:bidi w:val="0"/>
              <w:spacing w:after="0" w:line="240" w:lineRule="auto"/>
              <w:ind w:left="0" w:right="0" w:firstLine="0"/>
              <w:jc w:val="right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к муниципальной программе муниципального образования Ломоносовский муниципальный район Ленинградской области </w:t>
            </w:r>
          </w:p>
          <w:p>
            <w:pPr>
              <w:pStyle w:val="Обычный"/>
              <w:bidi w:val="0"/>
              <w:spacing w:line="240" w:lineRule="auto"/>
              <w:ind w:left="0" w:right="0" w:firstLine="0"/>
              <w:jc w:val="righ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0"/>
                <w:szCs w:val="20"/>
                <w:rtl w:val="0"/>
                <w:lang w:val="ru-RU"/>
              </w:rPr>
              <w:t>«Развитие малого и среднего предпринимательства в Ломоносовском муниципальном районе»</w:t>
            </w:r>
          </w:p>
        </w:tc>
      </w:tr>
    </w:tbl>
    <w:p>
      <w:pPr>
        <w:pStyle w:val="Обычный"/>
        <w:widowControl w:val="0"/>
        <w:spacing w:after="0" w:line="240" w:lineRule="auto"/>
        <w:jc w:val="both"/>
      </w:pPr>
    </w:p>
    <w:p>
      <w:pPr>
        <w:pStyle w:val="Обычный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Сведения</w:t>
      </w:r>
    </w:p>
    <w:p>
      <w:pPr>
        <w:pStyle w:val="Обычный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 фактически достигнутых значениях показателей</w:t>
      </w:r>
    </w:p>
    <w:p>
      <w:pPr>
        <w:pStyle w:val="Обычный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индикаторов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муниципальной программы</w:t>
      </w:r>
    </w:p>
    <w:p>
      <w:pPr>
        <w:pStyle w:val="Обычный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61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00"/>
        <w:gridCol w:w="2880"/>
        <w:gridCol w:w="1320"/>
        <w:gridCol w:w="1320"/>
        <w:gridCol w:w="960"/>
        <w:gridCol w:w="1851"/>
        <w:gridCol w:w="1680"/>
      </w:tblGrid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60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N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/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</w:t>
            </w:r>
          </w:p>
        </w:tc>
        <w:tc>
          <w:tcPr>
            <w:tcW w:type="dxa" w:w="28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Показатель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индикатор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  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наименование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    </w:t>
            </w:r>
          </w:p>
        </w:tc>
        <w:tc>
          <w:tcPr>
            <w:tcW w:type="dxa" w:w="13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 Ед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.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измерения</w:t>
            </w:r>
          </w:p>
        </w:tc>
        <w:tc>
          <w:tcPr>
            <w:tcW w:type="dxa" w:w="413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Значения показателей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   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индикаторов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)  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  муниципальной 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программы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подпрограммы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 муниципальной 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программы</w:t>
            </w:r>
          </w:p>
        </w:tc>
        <w:tc>
          <w:tcPr>
            <w:tcW w:type="dxa" w:w="16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Обоснование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отклонений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 значений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показателя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индикатора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Год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,  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предшест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-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вующий  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отчетному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type="dxa" w:w="28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Отчетный год </w:t>
            </w:r>
          </w:p>
        </w:tc>
        <w:tc>
          <w:tcPr>
            <w:tcW w:type="dxa" w:w="1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60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8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План </w:t>
            </w:r>
          </w:p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 Факт </w:t>
            </w:r>
          </w:p>
        </w:tc>
        <w:tc>
          <w:tcPr>
            <w:tcW w:type="dxa" w:w="16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1 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         2           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   3    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   4    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 5   </w:t>
            </w:r>
          </w:p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 6   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    7      </w:t>
            </w:r>
          </w:p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1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0"/>
                <w:szCs w:val="20"/>
                <w:u w:val="none"/>
                <w:rtl w:val="0"/>
                <w:lang w:val="ru-RU"/>
              </w:rPr>
              <w:t xml:space="preserve">Число субъектов малого и среднего предпринимательства в расчете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u w:val="none"/>
                <w:lang w:val="ru-RU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0"/>
                <w:szCs w:val="20"/>
                <w:u w:val="none"/>
                <w:rtl w:val="0"/>
                <w:lang w:val="ru-RU"/>
              </w:rPr>
              <w:t xml:space="preserve">на 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0"/>
                <w:szCs w:val="20"/>
                <w:u w:val="none"/>
                <w:rtl w:val="0"/>
                <w:lang w:val="ru-RU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0"/>
                <w:szCs w:val="20"/>
                <w:u w:val="none"/>
                <w:rtl w:val="0"/>
                <w:lang w:val="ru-RU"/>
              </w:rPr>
              <w:t>тыс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0"/>
                <w:szCs w:val="20"/>
                <w:u w:val="none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0"/>
                <w:szCs w:val="20"/>
                <w:u w:val="none"/>
                <w:rtl w:val="0"/>
                <w:lang w:val="ru-RU"/>
              </w:rPr>
              <w:t xml:space="preserve">человек населения 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0"/>
                <w:szCs w:val="20"/>
                <w:u w:val="none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0"/>
                <w:szCs w:val="20"/>
                <w:u w:val="none"/>
                <w:rtl w:val="0"/>
                <w:lang w:val="ru-RU"/>
              </w:rPr>
              <w:t>единиц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0"/>
                <w:szCs w:val="20"/>
                <w:u w:val="none"/>
                <w:rtl w:val="0"/>
                <w:lang w:val="ru-RU"/>
              </w:rPr>
              <w:t>)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единиц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sPlusCell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392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 простой"/>
              <w:ind w:firstLine="0"/>
              <w:jc w:val="center"/>
            </w:pPr>
            <w:r>
              <w:rPr>
                <w:rStyle w:val="Нет"/>
                <w:sz w:val="20"/>
                <w:szCs w:val="20"/>
                <w:rtl w:val="0"/>
                <w:lang w:val="ru-RU"/>
              </w:rPr>
              <w:t>372</w:t>
            </w:r>
          </w:p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sPlusCell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394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82" w:hRule="atLeast"/>
        </w:trPr>
        <w:tc>
          <w:tcPr>
            <w:tcW w:type="dxa" w:w="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2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Доля среднесписочной численности работников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без внешних совместителей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малых и средних предприятий в среднесписочной численности работников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без внешних совместителей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всех предприятий и организаций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в процентах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проценты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sPlusCell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30,1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 простой"/>
              <w:ind w:firstLine="0"/>
              <w:jc w:val="center"/>
            </w:pPr>
            <w:r>
              <w:rPr>
                <w:rStyle w:val="Нет"/>
                <w:sz w:val="20"/>
                <w:szCs w:val="20"/>
                <w:rtl w:val="0"/>
                <w:lang w:val="ru-RU"/>
              </w:rPr>
              <w:t>30,1</w:t>
            </w:r>
          </w:p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sPlusCell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30,1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Показатель рассчитывается по итогам сплошного статистического наблюдения</w:t>
            </w:r>
          </w:p>
        </w:tc>
      </w:tr>
      <w:tr>
        <w:tblPrEx>
          <w:shd w:val="clear" w:color="auto" w:fill="ced7e7"/>
        </w:tblPrEx>
        <w:trPr>
          <w:trHeight w:val="1542" w:hRule="atLeast"/>
        </w:trPr>
        <w:tc>
          <w:tcPr>
            <w:tcW w:type="dxa" w:w="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/>
                <w:sz w:val="24"/>
                <w:szCs w:val="24"/>
                <w:rtl w:val="0"/>
                <w:lang w:val="ru-RU"/>
              </w:rPr>
              <w:t>3</w:t>
            </w:r>
          </w:p>
        </w:tc>
        <w:tc>
          <w:tcPr>
            <w:tcW w:type="dxa" w:w="2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Количество информационных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консультационных услуг представителям малого и среднего бизнеса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в том числе представителям социально незащищенных слоев населения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единиц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 xml:space="preserve">) 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единиц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sPlusCell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280</w:t>
            </w:r>
          </w:p>
        </w:tc>
        <w:tc>
          <w:tcPr>
            <w:tcW w:type="dxa" w:w="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Текст простой"/>
              <w:ind w:firstLine="0"/>
              <w:jc w:val="center"/>
            </w:pPr>
            <w:r>
              <w:rPr>
                <w:rStyle w:val="Нет"/>
                <w:sz w:val="20"/>
                <w:szCs w:val="20"/>
                <w:rtl w:val="0"/>
                <w:lang w:val="ru-RU"/>
              </w:rPr>
              <w:t>650</w:t>
            </w:r>
          </w:p>
        </w:tc>
        <w:tc>
          <w:tcPr>
            <w:tcW w:type="dxa" w:w="1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sPlusCell"/>
              <w:spacing w:after="0" w:line="240" w:lineRule="auto"/>
              <w:jc w:val="center"/>
            </w:pP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370</w:t>
            </w:r>
          </w:p>
        </w:tc>
        <w:tc>
          <w:tcPr>
            <w:tcW w:type="dxa" w:w="1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sPlusCell"/>
              <w:spacing w:after="0" w:line="240" w:lineRule="auto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Консультации ЛФУР «Бизнес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rtl w:val="0"/>
                <w:lang w:val="ru-RU"/>
              </w:rPr>
              <w:t>-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центр»</w:t>
            </w:r>
          </w:p>
        </w:tc>
      </w:tr>
    </w:tbl>
    <w:p>
      <w:pPr>
        <w:pStyle w:val="Обычный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widowControl w:val="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Начальник отдела экономического развития и инвестиций</w:t>
        <w:tab/>
        <w:tab/>
        <w:tab/>
        <w:t xml:space="preserve">     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Перова</w:t>
      </w: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"/>
        <w:widowControl w:val="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</w:rPr>
      </w:pPr>
      <w:bookmarkStart w:name="Par842" w:id="0"/>
      <w:r>
        <w:rPr>
          <w:rStyle w:val="Нет"/>
          <w:rFonts w:ascii="Times New Roman" w:hAnsi="Times New Roman" w:hint="default"/>
          <w:rtl w:val="0"/>
          <w:lang w:val="ru-RU"/>
        </w:rPr>
        <w:t>Исп</w:t>
      </w:r>
      <w:r>
        <w:rPr>
          <w:rStyle w:val="Нет"/>
          <w:rFonts w:ascii="Times New Roman" w:hAnsi="Times New Roman"/>
          <w:rtl w:val="0"/>
          <w:lang w:val="ru-RU"/>
        </w:rPr>
        <w:t xml:space="preserve">. </w:t>
      </w:r>
      <w:r>
        <w:rPr>
          <w:rStyle w:val="Нет"/>
          <w:rFonts w:ascii="Times New Roman" w:hAnsi="Times New Roman" w:hint="default"/>
          <w:rtl w:val="0"/>
          <w:lang w:val="ru-RU"/>
        </w:rPr>
        <w:t>Д</w:t>
      </w:r>
      <w:r>
        <w:rPr>
          <w:rStyle w:val="Нет"/>
          <w:rFonts w:ascii="Times New Roman" w:hAnsi="Times New Roman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rtl w:val="0"/>
          <w:lang w:val="ru-RU"/>
        </w:rPr>
        <w:t>В</w:t>
      </w:r>
      <w:r>
        <w:rPr>
          <w:rStyle w:val="Нет"/>
          <w:rFonts w:ascii="Times New Roman" w:hAnsi="Times New Roman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rtl w:val="0"/>
          <w:lang w:val="ru-RU"/>
        </w:rPr>
        <w:t>Бутаков</w:t>
      </w:r>
    </w:p>
    <w:p>
      <w:pPr>
        <w:pStyle w:val="Обычный"/>
        <w:widowControl w:val="0"/>
        <w:spacing w:after="0" w:line="240" w:lineRule="auto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423-05-74</w:t>
      </w:r>
    </w:p>
    <w:p>
      <w:pPr>
        <w:pStyle w:val="Обычный"/>
        <w:widowControl w:val="0"/>
        <w:spacing w:after="0" w:line="240" w:lineRule="auto"/>
        <w:ind w:firstLine="540"/>
        <w:jc w:val="both"/>
        <w:rPr>
          <w:rFonts w:ascii="Times New Roman" w:cs="Times New Roman" w:hAnsi="Times New Roman" w:eastAsia="Times New Roman"/>
        </w:rPr>
      </w:pPr>
    </w:p>
    <w:p>
      <w:pPr>
        <w:pStyle w:val="Обычный"/>
        <w:widowControl w:val="0"/>
        <w:spacing w:after="0" w:line="240" w:lineRule="auto"/>
        <w:jc w:val="center"/>
        <w:outlineLvl w:val="2"/>
      </w:pPr>
      <w:bookmarkStart w:name="Par883" w:id="1"/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Обычный"/>
        <w:widowControl w:val="0"/>
        <w:spacing w:after="0" w:line="240" w:lineRule="auto"/>
        <w:jc w:val="center"/>
        <w:outlineLvl w:val="2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Пояснительная записка</w:t>
      </w:r>
    </w:p>
    <w:p>
      <w:pPr>
        <w:pStyle w:val="Обычный"/>
        <w:widowControl w:val="0"/>
        <w:spacing w:after="0" w:line="240" w:lineRule="auto"/>
        <w:jc w:val="center"/>
        <w:outlineLvl w:val="2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Без интервала"/>
        <w:ind w:firstLine="708"/>
        <w:jc w:val="both"/>
      </w:pPr>
      <w:r>
        <w:rPr>
          <w:rtl w:val="0"/>
          <w:lang w:val="ru-RU"/>
        </w:rPr>
        <w:t xml:space="preserve">В первом  полугодии </w:t>
      </w:r>
      <w:r>
        <w:rPr>
          <w:rtl w:val="0"/>
          <w:lang w:val="ru-RU"/>
        </w:rPr>
        <w:t xml:space="preserve">2016 </w:t>
      </w:r>
      <w:r>
        <w:rPr>
          <w:rtl w:val="0"/>
          <w:lang w:val="ru-RU"/>
        </w:rPr>
        <w:t xml:space="preserve">году реализовывались мероприятия муниципальной программы «Развитие малого и среднего предпринимательства в Ломоносовском муниципальном районе» 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запланированное финансирование </w:t>
      </w:r>
      <w:r>
        <w:rPr>
          <w:rtl w:val="0"/>
          <w:lang w:val="ru-RU"/>
        </w:rPr>
        <w:t xml:space="preserve">- 675 </w:t>
      </w:r>
      <w:r>
        <w:rPr>
          <w:rtl w:val="0"/>
          <w:lang w:val="ru-RU"/>
        </w:rPr>
        <w:t>тыс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рублей</w:t>
      </w:r>
      <w:r>
        <w:rPr>
          <w:rtl w:val="0"/>
          <w:lang w:val="ru-RU"/>
        </w:rPr>
        <w:t>).</w:t>
      </w:r>
    </w:p>
    <w:p>
      <w:pPr>
        <w:pStyle w:val="Без интервала"/>
        <w:ind w:firstLine="708"/>
        <w:jc w:val="both"/>
      </w:pPr>
      <w:r>
        <w:rPr>
          <w:rtl w:val="0"/>
          <w:lang w:val="ru-RU"/>
        </w:rPr>
        <w:t xml:space="preserve">На территории Ломоносовского района активную работу проводит муниципальная инфраструктура поддержки малого и среднего бизнеса Ломоносовский фонд устойчивого развития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ЛФУР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«Бизнес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центр»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первом полугодии оказано </w:t>
      </w:r>
      <w:r>
        <w:rPr>
          <w:rtl w:val="0"/>
          <w:lang w:val="ru-RU"/>
        </w:rPr>
        <w:t xml:space="preserve">370 </w:t>
      </w:r>
      <w:r>
        <w:rPr>
          <w:rtl w:val="0"/>
          <w:lang w:val="ru-RU"/>
        </w:rPr>
        <w:t>бесплатных консультаций по вопросам развития предпринимательства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проведено мероприятие «Начинающий предприниматель»</w:t>
      </w:r>
      <w:r>
        <w:rPr>
          <w:rtl w:val="0"/>
          <w:lang w:val="ru-RU"/>
        </w:rPr>
        <w:t xml:space="preserve">, 11 </w:t>
      </w:r>
      <w:r>
        <w:rPr>
          <w:rtl w:val="0"/>
          <w:lang w:val="ru-RU"/>
        </w:rPr>
        <w:t>человек закончили курс</w:t>
      </w:r>
      <w:r>
        <w:rPr>
          <w:rtl w:val="0"/>
          <w:lang w:val="ru-RU"/>
        </w:rPr>
        <w:t>.</w:t>
      </w:r>
    </w:p>
    <w:p>
      <w:pPr>
        <w:pStyle w:val="Без интервала"/>
        <w:ind w:firstLine="708"/>
        <w:jc w:val="both"/>
      </w:pPr>
      <w:r>
        <w:rPr>
          <w:rtl w:val="0"/>
          <w:lang w:val="ru-RU"/>
        </w:rPr>
        <w:t>В целях предоставления субсидий начинающим предпринимателям администрация Ломоносовского района участвовала в конкурсных процедурах в Правительстве Ленинградской области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 итогам которых было принято решение о предоставлении софинансирования из областного бюджета мероприятия поддержки начинающих предпринимателей в сумме </w:t>
      </w:r>
      <w:r>
        <w:rPr>
          <w:rtl w:val="0"/>
          <w:lang w:val="ru-RU"/>
        </w:rPr>
        <w:t xml:space="preserve">1,2 </w:t>
      </w:r>
      <w:r>
        <w:rPr>
          <w:rtl w:val="0"/>
          <w:lang w:val="ru-RU"/>
        </w:rPr>
        <w:t>млн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рублей</w:t>
      </w:r>
      <w:r>
        <w:rPr>
          <w:rtl w:val="0"/>
          <w:lang w:val="ru-RU"/>
        </w:rPr>
        <w:t>.</w:t>
      </w:r>
    </w:p>
    <w:p>
      <w:pPr>
        <w:pStyle w:val="Без интервала"/>
        <w:ind w:firstLine="708"/>
        <w:jc w:val="both"/>
      </w:pPr>
      <w:r>
        <w:rPr>
          <w:rtl w:val="0"/>
          <w:lang w:val="ru-RU"/>
        </w:rPr>
        <w:t xml:space="preserve">Актуальные сведения о реализуемых мероприятиях государственной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муниципальной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поддержки бизнеса представлены в интернет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сети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на сайте и на едином портале Ломоносовского района</w:t>
      </w:r>
      <w:r>
        <w:rPr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</w:rPr>
      </w:pPr>
    </w:p>
    <w:p>
      <w:pPr>
        <w:pStyle w:val="Обычный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Начальник отдела экономического развития и инвестиций</w:t>
        <w:tab/>
        <w:tab/>
        <w:tab/>
        <w:t>О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Перова</w:t>
      </w:r>
    </w:p>
    <w:p>
      <w:pPr>
        <w:pStyle w:val="Обычный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Обычный"/>
        <w:spacing w:after="0" w:line="240" w:lineRule="auto"/>
        <w:rPr>
          <w:rStyle w:val="Hyperlink.0"/>
        </w:rPr>
      </w:pPr>
      <w:r>
        <w:rPr>
          <w:rStyle w:val="Hyperlink.0"/>
          <w:rtl w:val="0"/>
          <w:lang w:val="ru-RU"/>
        </w:rPr>
        <w:t>Исп</w:t>
      </w:r>
      <w:r>
        <w:rPr>
          <w:rStyle w:val="Hyperlink.0"/>
          <w:rtl w:val="0"/>
          <w:lang w:val="ru-RU"/>
        </w:rPr>
        <w:t xml:space="preserve">. </w:t>
      </w:r>
      <w:r>
        <w:rPr>
          <w:rStyle w:val="Hyperlink.0"/>
          <w:rtl w:val="0"/>
          <w:lang w:val="ru-RU"/>
        </w:rPr>
        <w:t>Д</w:t>
      </w:r>
      <w:r>
        <w:rPr>
          <w:rStyle w:val="Hyperlink.0"/>
          <w:rtl w:val="0"/>
          <w:lang w:val="ru-RU"/>
        </w:rPr>
        <w:t>.</w:t>
      </w:r>
      <w:r>
        <w:rPr>
          <w:rStyle w:val="Hyperlink.0"/>
          <w:rtl w:val="0"/>
          <w:lang w:val="ru-RU"/>
        </w:rPr>
        <w:t>В</w:t>
      </w:r>
      <w:r>
        <w:rPr>
          <w:rStyle w:val="Hyperlink.0"/>
          <w:rtl w:val="0"/>
          <w:lang w:val="ru-RU"/>
        </w:rPr>
        <w:t>.</w:t>
      </w:r>
      <w:r>
        <w:rPr>
          <w:rStyle w:val="Hyperlink.0"/>
          <w:rtl w:val="0"/>
          <w:lang w:val="ru-RU"/>
        </w:rPr>
        <w:t>Бутаков</w:t>
      </w:r>
    </w:p>
    <w:p>
      <w:pPr>
        <w:pStyle w:val="Обычный"/>
        <w:spacing w:after="0" w:line="240" w:lineRule="auto"/>
      </w:pPr>
      <w:r>
        <w:rPr>
          <w:rStyle w:val="Hyperlink.0"/>
          <w:rtl w:val="0"/>
          <w:lang w:val="ru-RU"/>
        </w:rPr>
        <w:t>423-05-74</w:t>
      </w:r>
      <w:bookmarkEnd w:id="1"/>
    </w:p>
    <w:sectPr>
      <w:pgSz w:w="16840" w:h="11900" w:orient="landscape"/>
      <w:pgMar w:top="1134" w:right="851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">
    <w:name w:val="Текст"/>
    <w:next w:val="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z w:val="20"/>
      <w:szCs w:val="20"/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ConsPlusCell">
    <w:name w:val="ConsPlusCell"/>
    <w:next w:val="ConsPlusCel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Текст простой">
    <w:name w:val="Текст простой"/>
    <w:next w:val="Текст просто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709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