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7E" w:rsidRPr="00CC497E" w:rsidRDefault="00CC497E" w:rsidP="00CC497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</w:pPr>
      <w:r w:rsidRPr="00CC497E">
        <w:rPr>
          <w:rFonts w:ascii="Arial" w:eastAsia="Times New Roman" w:hAnsi="Arial" w:cs="Arial"/>
          <w:b/>
          <w:bCs/>
          <w:kern w:val="36"/>
          <w:sz w:val="15"/>
          <w:szCs w:val="15"/>
          <w:lang w:eastAsia="ru-RU"/>
        </w:rPr>
        <w:t>Информация о состоянии окружающей среды в январе-мае 2015 года</w:t>
      </w:r>
    </w:p>
    <w:p w:rsidR="00CC497E" w:rsidRPr="00CC497E" w:rsidRDefault="00CC497E" w:rsidP="00CC497E">
      <w:pPr>
        <w:shd w:val="clear" w:color="auto" w:fill="F6F6F6"/>
        <w:spacing w:after="0" w:line="240" w:lineRule="auto"/>
        <w:outlineLvl w:val="1"/>
        <w:rPr>
          <w:rFonts w:ascii="Georgia" w:eastAsia="Times New Roman" w:hAnsi="Georgia" w:cs="Arial"/>
          <w:b/>
          <w:bCs/>
          <w:color w:val="7D7D7D"/>
          <w:kern w:val="36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kern w:val="36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sz w:val="14"/>
          <w:lang w:eastAsia="ru-RU"/>
        </w:rPr>
        <w:t>Информация о состоянии окружающей среды в Ленинградской области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sz w:val="14"/>
          <w:lang w:eastAsia="ru-RU"/>
        </w:rPr>
        <w:t>за первое полугодие 2015 года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sz w:val="14"/>
          <w:lang w:eastAsia="ru-RU"/>
        </w:rPr>
        <w:t>I. Качество поверхностных вод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в пунктах Государственной сети наблюдений (ГСН) в Ленинградской области проводились в январе-мае 2015 года – на 23 реках и 2 озерах (35 пунктов, 50 створов).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 территории Ленинградской области случаев экстремально высокого загрязнения (ЭВЗ) не зафиксировано. Случаи высокого загрязнения (ВЗ) наблюдались в озере Сяберо.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Случаи ВЗ представлены в таблице 1.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Таблица 1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9"/>
        <w:gridCol w:w="1842"/>
        <w:gridCol w:w="3115"/>
        <w:gridCol w:w="988"/>
        <w:gridCol w:w="2411"/>
      </w:tblGrid>
      <w:tr w:rsidR="00CC497E" w:rsidRPr="00CC497E" w:rsidTr="00CC497E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Водный объект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Пункт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Створ, вертикаль, горизонт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Дата</w:t>
            </w:r>
          </w:p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отбора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Показатели качества, по которым зафиксированы случаи ВЗ, концентрации</w:t>
            </w:r>
          </w:p>
        </w:tc>
      </w:tr>
      <w:tr w:rsidR="00CC497E" w:rsidRPr="00CC497E" w:rsidTr="00CC497E">
        <w:trPr>
          <w:trHeight w:val="193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оз. Сяберо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д. Сяберо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1) ств. 1 верт. 1 – 0,1 км по аз. 20 град. от ОГП Сяберо, пов.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01.04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Азот нитритный – 0,729 мг/дм</w:t>
            </w: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vertAlign w:val="superscript"/>
                <w:lang w:eastAsia="ru-RU"/>
              </w:rPr>
              <w:t>3</w:t>
            </w: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 (36,5 ПДК)</w:t>
            </w:r>
          </w:p>
        </w:tc>
      </w:tr>
    </w:tbl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Гидрохимический режим и загрязненность рек различна, поэтому анализ проведен по отдельным бассейнам, по пунктам ГСН.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1. Бассейн Балтийского моря (от границы с Финляндией до устья Невы):                              р. Селезневка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Во время проведения съемок наличие запаха в воде не наблюдалось.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рН не выходили за пределы интервала 6,50–8,50.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взвешенных веществ в январе-мае не превышало 7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Кислородный режим вод был удовлетворительным во все съемки.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Превышающие норму значения БПК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bscript"/>
          <w:lang w:eastAsia="ru-RU"/>
        </w:rPr>
        <w:t>5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, характеризующие загрязненность водных объектов легкоокисляемой органикой наблюдались в феврале-мае (1,1–2,2 нормы), наибольшее значение было отмечено в марте.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Превышающие норму значения ХПК, свидетельствующие о наличии органических веществ, были отмечены во всех отобранных пробах (1,3–2,7 нормы), наибольшее значение было зафиксировано в январе.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азотов аммонийного, нитратного, нитритного, фосфоров минерального, общего, валового определялось ежемесячно. Концентрации азотов аммонийного и нитратного, а также и фосфора минерального не превышали ПДК. Превысившие ПДК концентрации азота нитритного были зафиксированы в пробах, отобранных в феврале и марте. Содержание азота общего изменялось от 1,54 до 3,39 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, фосфора общего – от 0,03 до 0,04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; фосфора валового – от 0,04 до 0,07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нефтепродуктов, СПАВ и фенола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Во всех отобранных пробах наблюдались превысившие ПДК концентрации меди (до 9 ПДК). Также наблюдались превышения ПДК по железу общему (до 12 ПДК); марганцу (до 8 ПДК) и цинку (до 5 ПДК). Концентрации кадмия, никеля и кобальта не превышали ПДК.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2. Бассейн реки Невы (без бассейна Ладожского озера): р. Нева (0,1 км выше                     о. Орешек (исток реки) и 3,5 км ниже впадения Мги)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течение всего периода запах отсутствовал – 0 баллов.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рН не выходили за пределы нормы (6,50–8,50).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январе-мае содержание взвешенных веществ изменялось до 6 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Кислородный режим вод был удовлетворительным.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БПК норму не превышали. Значения ХПК изменялись в диапазоне до 3,9 ПДК.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за содержанием в водах рек азотов аммонийного, нитратного, нитритного и общего, а также фосфоров минерального, общего и валового проводились один раз в квартал. Концентрации азотов аммонийного, нитритного и нитратного, а также и фосфора минерального не превышали ПДК. Содержание азота общего в обоих створах было практически одинаковым и изменялось до 0,49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Наиболее высокие значения концентраций фосфора общего и фосфора валового составили 0,010 и 0,012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(май).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нефтепродуктов, СПАВ и фенола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Во всех пробах наблюдалось превышение ПДК по меди. Также ПДК в большинстве проб превышали значения железа общего и цинка, реже – марганца. Концентрации свинца, кадмия, никеля и кобальта не выходили за пределы установленных норм.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3 Бассейн реки Невы от истока до границы Ленинградской области и Санкт-Петербурга (без бассейна Ладожского озера): реки Мга, Тосна, Охта (створ на границе Санкт-Петербурга и Ленинградской области)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течение всего периода в воде всех водотоков запах отсутствовал – 0 баллов.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рН не выходили за пределы нормы 6,50–8,50.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взвешенных веществ выше 10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было отмечено во всех водных объектах. Максимальное значение 41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было зафиксировано в Охте.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январе, феврале и мае наблюдались нарушения кислородного режима.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Превысившие норму значения БПК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bscript"/>
          <w:lang w:eastAsia="ru-RU"/>
        </w:rPr>
        <w:t>5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были отмечены практически во всех пробах, отобранных в Охте и в пробах, отобранных в марте и апреле в Мге и Тосне. Превысившие норму значения ХПК были зафиксированы во всех отобранных пробах (максимум - превышение нормы в 6 раз).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за содержанием в водах рек азота  аммонийного, нитратного, нитритного и общего, а также фосфоров минерального, общего и валового проводились один раз в квартал. Во всех водных объектах концентрации азота аммонийного, нитратного и фосфора минерального не превышали ПДК. Превысившие ПДК концентрации азота нитритного наблюдались во всех рассматриваемых водных объектах.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большинстве съемок в Охте содержание азота общего, фосфора и фосфора валового было выше, чем в реках Мга и Тосна.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lastRenderedPageBreak/>
        <w:t>Концентрации нефтепродуктов, СПАВ и фенола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Во всех пробах наблюдалось превышение ПДК по меди. Также ПДК в большинстве проб превышали значения железа общего, цинка и марганца. Превысившее ПДК значение свинца зафиксировано в Охте. Концентрации кадмия, никеля и кобальта не выходили за пределы установленных норм.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4. Бассейн Ладожского озера (от устья Вуоксы до устья Свири): реки Вуокса, Волчья, Свирь, Оять, Паша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течение всего периода в воде всех водотоков запах отсутствовал – 0 баллов.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рН не выходили за пределы интервала 6,50–8,50 во всех пробах, исключая значение, полученное в р. Свирь в феврале, в створе ниже г. Подпорожье.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взвешенных веществ не превышало 5 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во всех пробах.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Кислородный режим удовлетворительный.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Превысившие норму значения БПК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bscript"/>
          <w:lang w:eastAsia="ru-RU"/>
        </w:rPr>
        <w:t>5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были зафиксированы в отдельных пробах во всех водотоках (до 1,9 нормы). Значения ХПК достигали значения 2,9 нормы, максимальное значение было зафиксировано в Паше у с. Часовенское.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 водах рек азота  аммонийного, нитратного, нитритного, фосфора минерального определялось один раз в квартал. Во всех водных объектах концентрации азотов аммонийного, нитритного и нитратного, а также фосфора минерального не превышали ПДК. Наблюдения за содержанием в водах рек азота общего, фосфоров общего и валового проводились один раз в квартал в замыкающих створах рек Вуокса                (г. Приозерск), Свирь (пгт Свирица) и Паша (п. Пашский Перевоз). Наибольшие значения этих показателей были отмечены по азоту общему – р.  Вуокса, г. Приозерск (февраль); фосфору общему – Вуокса, г. Приозерск и Паша, п. Пашский перевоз (февраль); фосфору валовому – Паша, Пашский перевоз (февраль).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нефтепродуктов, СПАВ и фенола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за содержанием железа общего проводились ежеквартально. В реках Оять, Волчья и Паша, превышающие ПДК значения железа общего были зафиксированы во всех пробах. В реках Вуокса и Свирь превышения по железу общему носили разовый характер.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Во всех водных объектах практически во всех пробах наблюдались превышающие ПДК концентрации меди. Наиболее высокие концентрации меди были зафиксированы в Вуоксе в черте г. Каменогорск.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Максимальное значение по марганцу было зафиксировано в Вуоксе, в черте                                г. Каменогорск, в мае. В реках Волчья, Оять, Свирь и Паша превышений ПДК по данному показателю зафиксировано не было.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свинца и кадмия не выходили за пределы ПДК.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5. Бассейн Ладожского озера (от устья Сяси до устья Назии): реки Сясь, Волхов, Тихвинка, Воложба, Пярдомля, Тигода, Шарья, Черная, Назия и оз. Шугозеро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Запах интенсивностью 2 балла наблюдался у г. Кириши практически во все съемки в реке Волхов и во все – в р. Черная, а также в Шарье; в остальных водных объектах во все съемки запах отсутствовал.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рН ниже нормы были отмечены в Тихвинке – выше г. Тихвин (январь, май), Назии (февраль), Пярдомле – выше г.Бокситогорска (апрель), Черной – у г.Кириши (январь-март), а также в обоих горизонтах оз. Шугозеро (февраль, апрель). Остальные значения рН не выходили за пределы интервала 6,50 – 8,50.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взвешенных веществ в рассматриваемых реках достигало значения 18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Максимальные значения были отмечены в реках Волхов (ниже г. Волхов), Сясь (Сясьстрой) и Тихвинка (ниже г. Тихвин).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Абсолютное содержание кислорода ниже нормы было зафиксировано в р.Тигода в районе г. Любань в феврале. Снижение относительного содержания кислорода было зафиксировано в реках Волхов – выше г. Волхов, выше и ниже г. Кириши, Новая Ладога  (январь и февраль), Сясь – Сясьстрой (январь), Тигода – в районе г. Любань (февраль, март), Черная – в черте г. Кириши (январь-март, май). Абсолютное и относительное содержание кислорода в остальных пробах было в норме.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реках Назия и Тихвинка значение БПК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bscript"/>
          <w:lang w:eastAsia="ru-RU"/>
        </w:rPr>
        <w:t>5 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оставалось в пределах нормы. В остальных реках в половине проб значение колебалось до отметки 3,6 нормы.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За исключением одного значения, полученного в р. Пярдомля (выше                                     г. Богситогорск, февраль), в 100 % проб наблюдалось превышение нормы по ХПК. Максимальное значение было зафиксировано в январе в р. Волхов, ниже Кириши – 6,7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азота аммонийного, нитратного, нитритного, фосфора минерального в водах рек и озера определялось один раз в квартал. Во всех водных объектах концентрации азота аммонийного и нитратного не превышали ПДК. В большинстве проб содержание азота нитритного было выше ПДК.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Концентрация фосфора минерального выше ПДК была зафиксирована в феврале – в Пярдомле и Тихвинке. Наблюдения за содержанием в водах рек азота общего, фосфоров общего и валового проводились один раз в квартал в замыкающих створах рек: Сясь (в черте г. Сясьстрой), Волхов (ниже г. Новая Ладога) и Назия. Наибольшие значения были отмечены: в Назии – азот общий (февраль); в Волхове – фосфор общий и фосфор валовый (апрель).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нефтепродуктов составили в Шарье 2,6 ПДК (февраль); в Шугозере – 2,2 ПДК (февраль), остальные концентрации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Превысивших ПДК концентраций фенола не наблюдалось.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СПАВ выше ПДК были зафиксированы в Волхове и Черной в районе г. Кириши (март и апрель).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железа общего выше ПДК были отмечены в большинстве отобранных проб (до 10 ПДК); наибольшая концентрация наблюдалась в феврале в Тихвинке.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Во всех отобранных пробах наблюдались концентрации меди от 1 до 23 ПДК, наибольшая была зафиксирована в Шарье (февраль).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марганца выше ПДК были отмечены в отдельных пробах во всех водных объектах, кроме Воложбы и Назии; наиболее высокая концентрация была отмечена в Волхове – г. Волхов в марте (23 ПДК).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свинца и кадмия не выходили за пределы ПДК.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6. Бассейн Балтийского моря (от устья Невы до границы с Эстонией): реки Луга, Оредеж, Суйда, Нарва, Плюсса и оз. Сяберо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течение всего периода в воде всех водных объектов запах отсутствовал – 0 баллов.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Значения рН не выходили за пределы интервала 6,50–8,50, исключая пробу, отобранную в Нарве, ниже Ивангорода (5,02).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взвешенных веществ в рассматриваемых реках достигало значения 18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Максимальные значения, превысившие значение 10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, были отмечены в реках Нарва (Степановщина; февраль), Луга (ниже пгт Толмачево; январь, февраль) и Оредеж (апрель).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Абсолютное содержание кислорода оставалось в пределах нормы. Значения кислорода относительного ниже нормы были зафиксированы в большинстве проб, отобранных в Луге (выше Толмачево; выше города Кингисепп); в феврале и апреле – в Оредеже, Плюссе, Суйде и обоих горизонтах озера Сяберо.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lastRenderedPageBreak/>
        <w:t>Значение БПК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bscript"/>
          <w:lang w:eastAsia="ru-RU"/>
        </w:rPr>
        <w:t>5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превысило норму в 1,2 раза в Нарве в феврале.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Превысившие норму значения ХПК были отмечены абсолютно во всех отобранных пробах (до 3,9 нормы), наибольшее значение было зафиксировано в Луге выше (февраль, май).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 водах рек и озера азотов аммонийного, нитратного, нитритного, фосфора минерального определялось один раз в квартал, за исключением створов, расположенных на Нарве и створа на реке Луга (ниже города), где наблюдения проводились ежемесячно. Во всех водных объектах концентрации азота нитратного и фосфора минерального не превышали ПДК. Концентрации азота аммонийного превысившие ПДК были зафиксированы во всех пробах, отобранных в оз. Сяберо. В реке Луга, за исключением района Толмачева, в Нарве, Плюссе и Суйде не наблюдалось случаев превышения ПДК показателем азота нитритного. Наблюдения за содержанием в водах рек азота общего, фосфоров общего и валового проводились ежемесячно в Нарве и Луге (ниже г. Кингисепп); один раз в квартал – в Плюссе (ниже г. Сланцы). Наиболее высокие значения этих показателей были отмечены в Луге в январе: фосфора общего (0,039 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) и фосфора валового (0,06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); азота общего (1,68 мг/дм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3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нефтепродуктов, СПАВ и фенола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Исключая значения концентраций  железа общего в пробах, отобранных в р. Нарва (Степановщина), показатель находился выше уровня ПДК в большинстве случаев. Максимальное значение было зафиксировано в январе в Луге (Преображенка).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Практически во всех отобранных пробах наблюдались концентрации меди от 1 до 14 ПДК. В апреле в створе выше г. Кингисепп было зафиксировано значение, равное 30 ПДК.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40% отобранных проб значения концентраций марганца превысили ПДК. Максимальное значение, равное 8,2 ПДК было зафиксировано в Луге (пгт Толмачево).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Концентрации свинца и кадмия не выходили за пределы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ind w:left="57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за содержанием в воде цинка, никеля и кобальта проводились в Луге (ниже г. Кингисепп), Плюссе (ниже г. Сланцы) и Нарве. Концентрации цинка выше ПДК были отмечены в Луге у д. Преображенка и ниже г. Кингисеппа. Концентрации никеля и кобальта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sz w:val="14"/>
          <w:lang w:eastAsia="ru-RU"/>
        </w:rPr>
        <w:t>II. Качество атмосферного воздуха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Мониторинг качества атмосферного воздуха в январе-мае 2015 года проводился на 5-ти стационарных постах Государственной службы наблюдений и расположенных в Кингисеппском (1 пост), Лужском (1 пост), Выборгском (1 пост) и Киришском (2 поста) районах; на ПНЗА г. Светогорска, расположенном в Выборгском районе Ленинградской области.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Для оценки степени загрязнения атмосферы за месяц используются два показателя качества воздуха: стандартный индекс (СИ) и наибольшая повторяемость (НП):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СИ – наибольшая разовая концентрация любого вещества, деленная на ПДК;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НП – наибольшая повторяемость превышения ПДК, выраженная в %.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Если СИ и НП попадают в разные градации, то степень загрязнения атмосферы оценивается по наибольшему значению из этих показателей.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Таблица 2</w:t>
      </w:r>
    </w:p>
    <w:tbl>
      <w:tblPr>
        <w:tblW w:w="92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2"/>
        <w:gridCol w:w="3564"/>
        <w:gridCol w:w="1917"/>
        <w:gridCol w:w="1797"/>
      </w:tblGrid>
      <w:tr w:rsidR="00CC497E" w:rsidRPr="00CC497E" w:rsidTr="00CC497E">
        <w:trPr>
          <w:tblCellSpacing w:w="0" w:type="dxa"/>
          <w:jc w:val="center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Градации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Загрязнение атмосферы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СИ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НП, %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ind w:left="-369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Низкое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от 0 до 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Повышенное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от 2 до 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от 1 до 19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Высокое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от 5 до 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от 20 до 49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Очень высокое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&gt; 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&gt; 50</w:t>
            </w:r>
          </w:p>
        </w:tc>
      </w:tr>
    </w:tbl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Город Выборг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за загрязнением атмосферного воздуха на посту, принадлежащем ФГБУ «Северо-Западное УГМС», по адресу Ленинградский пр., 15, проводятся ежедневно 4 раза в сутки. Измеряются концентрации взвешенных веществ, диоксида серы, оксида углерода, диоксида азота, аммиака, бенз(а)пирена, тяжелых металлов, ароматических углеводородов. В апреле и мае измерения оксида углерода и ароматических углеводородов не проводились.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взвешенных веществ.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Средние за месяц концентрации изменялись в диапазоне от 0,5 до 1,6 ПДКс.с. Максимальная концентрация за этот период зафиксирована в марте, она превысила ПДКм.р. в 3,2 раза. Уровень загрязнения воздуха пылью оценивается как повышенный в январе (НП– 2,8%, СИ–1,2), марте (НП–4%, СИ–3,2) и апреле (НП–8%, СИ–2,8), в феврале и мае – как низкий.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серы и оксида углерода.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Средние значения за месяц и максимальные из разовых концентраций не превышали установленных санитарных норм.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азота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Средние концентрации за месяц изменялись от 0,7 до 1,1 ПДКс.с., наибольшие из них были в феврале и мае. Максимальная разовая концентрация составила 1,2 ПДКм.р. (СИ–1,2). Загрязненность воздуха диоксидом азота квалифицируется как повышенная в январе, марте и мае (значения изменялись НП от 1% до 2,2%), как низкая в феврале и апреле.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специфических примесей.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 воздухе бензола, ксилолов, толуола и этилбензола незначительное: концентрации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тяжелых металлов в воздухе города не превышало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Характеристики загрязнения атмосферного воздуха представлены в таблице 3.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Таблица 3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1290"/>
        <w:gridCol w:w="1153"/>
        <w:gridCol w:w="1153"/>
        <w:gridCol w:w="1166"/>
        <w:gridCol w:w="1139"/>
        <w:gridCol w:w="1276"/>
      </w:tblGrid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Загрязняющее вещество</w:t>
            </w: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Характе-ристика</w:t>
            </w:r>
          </w:p>
        </w:tc>
        <w:tc>
          <w:tcPr>
            <w:tcW w:w="4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Месяц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V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56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Концентрация (в долях ПДК)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lastRenderedPageBreak/>
              <w:t>Взвешенные вещества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серы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Оксид углерода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азота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Бензол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Ксилолы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Толуол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Этилбензол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</w:tbl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Город Кириши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проводятся на 2-х стационарных постах Государственной службы наблюдений за состоянием окружающей среды. Пост № 4 расположен по адресу                          пр. Ленина, 6 и пост № 5 – Волховская набережная, 17, отбор проб проводился ежедневно 4 раза в сутки. Измерялись концентрации взвешенных веществ, диоксида серы, диоксида азота, оксида азота, сероводорода, окиси углерода, аммиака, ароматических углеводородов, бенз(а)пирена и тяжелых металлов.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взвешенных веществ.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Средние за месяц концентрации взвешенных веществ в целом по городу с января по май были от 0,2 до 0,7 ПДКс.с. Максимальные концентрации пыли были зафиксированы на посту № 4 в марте и апреле, их значения превышали в 3 раза (значение СИ–3), и в 4,6 раза (СИ–4,6) соответственно. Уровень загрязнения воздуха пылью в январе, феврале и мае квалифицировался как низкий, а в марте (СИ–3, НП–3,4%) и апреле (СИ–4,6, НП–2%) оценивался как повышенный.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оксида углерода.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Средние за месяц концентрации в целом по городу составляли 0,1–0,3 ПДКс.с. На посту № 4 в марте была измерена максимальная концентрация, превысившая ПДКм.р. в 2,6 раза (СИ–2,6). Уровень загрязнения воздуха оксидом углерода в целом по городу в январе, феврале, апреле и мае квалифицируется как низкий, в марте (СИ–2,6) – как повышенный.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серы, диоксида и оксида азота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Уровень загрязнения воздуха этими веществами низкий. Средние за месяц и максимальные разовые концентрации не превышали установленных норм.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бенз(а)пирена.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Среднемесячные концентрации в целом по городу с января по апрель были от 0,2 до 0,6 ПДКс.с., наибольшая среднемесячная концентрация измерена в январе на посту № 4. Степень загрязнения воздуха бенз(а)пиреном характеризуется как низкая.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специфических примесей.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Максимальная концентрация сероводорода, измеренная в марте на посту № 5, превысила ПДКм.р. в 1,1 раза (СИ–1,1). Уровень загрязнения воздуха данной примесью в период с января по май оценивается как низкий. Содержание аммиака, этилбензола, бензола, ксилолов и толуола было незначительным: средние за месяц и максимальные разовые концентрации не превышали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тяжелых металлов в воздухе города не превышало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Характеристики загрязнения атмосферного воздуха представлены в таблице 4.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Таблица 4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1290"/>
        <w:gridCol w:w="1153"/>
        <w:gridCol w:w="1153"/>
        <w:gridCol w:w="1166"/>
        <w:gridCol w:w="1139"/>
        <w:gridCol w:w="1276"/>
      </w:tblGrid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Загрязняющее вещество</w:t>
            </w: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Характе-ристика</w:t>
            </w:r>
          </w:p>
        </w:tc>
        <w:tc>
          <w:tcPr>
            <w:tcW w:w="4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Месяц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V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56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Концентрация, в долях ПДК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Взвешенные вещества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серы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0,04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Оксид углерода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азота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Оксид азота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</w:tr>
      <w:tr w:rsidR="00CC497E" w:rsidRPr="00CC497E" w:rsidTr="00CC497E">
        <w:trPr>
          <w:trHeight w:val="183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Сероводород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Аммиак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Бензол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Ксилолы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Толуол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Этилбензол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Бенз (а)пирен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</w:tbl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Город Светогорск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проводятся на стационарном посту, принадлежащем ЗАО «Интернешнл Пейпер». Пост расположен в жилой застройке города по адресу ул. Парковая, д. 8, отбор проб проводился по скользящему графику: в 8, 11 и 14 часов по вторникам, четвергам и субботам; в 15, 18 и 21 час – понедельник, среда, пятница. Измерялись концентрации взвешенных веществ, оксида углерода, диоксида азота, сероводорода и формальдегида. В январе и феврале концентрации оксида углерода не измерялись.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взвешенных веществ, оксида углерода и диоксида азота.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взвешенных веществ, оксида углерода и диоксида азота в воздухе города было незначительным: средние за месяц концентрации и разовые концентрации этих веществ не превышали установленных ПДК. Максимальная разовая концентрация оксида углерода составила 0,8 ПДКм.р. (май), диоксида азота – 0,4 ПДКм.р. (январь). Загрязнение воздуха данными примесями низкое.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специфических примесей.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Уровень загрязнения воздуха сероводородом в январе и феврале оценивается как повышенный (значения СИ – 3,6 и 3,3 соответственно), в марте - очень высокий: значение СИ – 11 (максимальная концентрация превысила ПДКм.р. в 11 раз), в апреле и мае – высокий (СИ составили 5,5 и 6,6 соответственно). Повторяемость превышений концентрациями ПДК (НП) в период с января по май была от 9% до 17%.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соответствии с утвержденными в 2014 году санитарными нормативами для концентраций формальдегида, с января по май средние концентрации формальдегида за месяц составляли от 0,8 до 1,3 ПДКс.с., максимальная концентрация соответствовала                      1 ПДКм.р. (апрель). Уровень загрязнения формальдегидом оценивается как низкий.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Характеристики загрязнения атмосферного воздуха представлены в таблице 5.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Таблица 5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1289"/>
        <w:gridCol w:w="1153"/>
        <w:gridCol w:w="1153"/>
        <w:gridCol w:w="1153"/>
        <w:gridCol w:w="1139"/>
        <w:gridCol w:w="1275"/>
      </w:tblGrid>
      <w:tr w:rsidR="00CC497E" w:rsidRPr="00CC497E" w:rsidTr="00CC497E">
        <w:trPr>
          <w:tblCellSpacing w:w="0" w:type="dxa"/>
          <w:jc w:val="center"/>
        </w:trPr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Загрязняющее вещество</w:t>
            </w: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Характе-ристика</w:t>
            </w:r>
          </w:p>
        </w:tc>
        <w:tc>
          <w:tcPr>
            <w:tcW w:w="4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Месяц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V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5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Концентрация, в долях ПДК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Взвешенные вещества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Оксид углерода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азота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0,3</w:t>
            </w:r>
          </w:p>
        </w:tc>
      </w:tr>
      <w:tr w:rsidR="00CC497E" w:rsidRPr="00CC497E" w:rsidTr="00CC497E">
        <w:trPr>
          <w:trHeight w:val="183"/>
          <w:tblCellSpacing w:w="0" w:type="dxa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Сероводород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11,0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6,6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Формальдегид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</w:tr>
    </w:tbl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lastRenderedPageBreak/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Город Кингисепп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проводятся на посту Государственной службы наблюдений за состоянием окружающей среды, принадлежащем ФГБУ «Северо-Западное УГМС». Пост расположен по адресу ул. Октябрьская, 4а, отбор проб проводился ежедневно 4 раза в сутки. Измерялись концентрации взвешенных веществ, диоксида серы, оксида углерода, диоксида азота, ароматических углеводородов и тяжелых металлов. Не проводились измерения ароматических углеводородов в апреле и мае, оксида углерода – в мае.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взвешенных веществ.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Среднемесячные концентрация взвешенных веществ с января по май были от 0,4 до 1,2 ПДКс.с. (март). Максимальная концентрация превысила ПДКм.р. в 2,6 раза (СИ–2,6). В феврале уровень запыленности оценивается как низкий. Повышенное загрязнение пылью наблюдалось в январе, марте, апреле и мае: повторяемости превышения концентрациями ПДК были от 1,9% до 6%, значения СИ – от 1,2 до 2,6.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серы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Загрязненность воздуха этой примесью была незначительной: разовые и средние концентрации не превышали установленных норм.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оксида углерода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Средние за месяц концентрации не превышали 0,6 ПДКс.с., максимальная концентрация составила 1,2 ПДКм.р. (февраль). Уровень загрязнения в феврале и апреле квалифицируется как повышенный (НП–4,3% и 2,8% соответственно), в январе и марте – как низкий.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азота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Среднемесячные концентрации период с января по май находились в диапазоне от 0,7 до 1,1 ПДКс.с. (май). Максимальная разовая концентрация составила 1 ПДКм.р. (апрель). Уровень загрязнения воздуха диоксидом азота – низкий.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специфических примесей.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Загрязнение воздуха бензолом, ксилолами, толуолом и этилбензолом – низкое: санитарные нормативы не были превышены.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Содержание тяжелых металлов в воздухе города не превышало ПДК.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Характеристики загрязнения атмосферного воздуха представлены в таблице 6.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Таблица 6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1290"/>
        <w:gridCol w:w="1153"/>
        <w:gridCol w:w="1153"/>
        <w:gridCol w:w="1166"/>
        <w:gridCol w:w="1139"/>
        <w:gridCol w:w="1276"/>
      </w:tblGrid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Загрязняющее вещество</w:t>
            </w: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Характе-ристика</w:t>
            </w:r>
          </w:p>
        </w:tc>
        <w:tc>
          <w:tcPr>
            <w:tcW w:w="4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Месяц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V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56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Концентрация, в долях ПДК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Взвешенные вещества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2,0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серы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Оксид углерода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азота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0,9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Бензол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Ксилолы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Толуол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Этилбензол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</w:tbl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Город Луга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Наблюдения проводятся на стационарном посту Государственной службы наблюдений за состоянием окружающей среды, принадлежащем ФГБУ «Северо-Западное УГМС». Пост расположен в жилой застройке города по адресу ул. Дзержинского, 11, отбор проб проводился ежедневно 4 раза в сутки. Измерялись концентрации взвешенных веществ, диоксида серы, оксида углерода, диоксида азота, ароматических углеводородов и тяжелых металлов. Не проводились измерения оксида углерода и ароматических углеводородов в апреле и мае.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взвешенных веществ.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Среднемесячная концентрация за март составила 1,1 ПДКс.с., в остальные месяцы средние значения за месяц были ниже санитарной нормы. Максимальная концентрация из разовых превысила ПДКм.р. в 1,8 раза (март). В январе, феврале и мае уровень загрязнения воздуха пылью квалифицируется как низкий, в марте и апреле как повышенный (НП –10% и 4% соответственно).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серы и оксида углерода.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Уровень загрязнения воздуха данными примесями характеризуется как низкий: средние за месяц и разовые концентрации не превышали санитарных норм.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диоксида азота.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В январе среднемесячная концентрация составила 1,1 ПДКс.с., максимальная из разовых – 1,5 ПДКм.р. Значения средних за месяц и разовых концентраций с февраля по май не превышали установленные нормы. Повышенный уровень загрязнения воздуха диоксидом азота отмечен в январе (НП–2,5%). Степень загрязнения воздуха в феврале, марте, апреле и мае оценивается как низкая.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i/>
          <w:iCs/>
          <w:color w:val="7D7D7D"/>
          <w:sz w:val="14"/>
          <w:lang w:eastAsia="ru-RU"/>
        </w:rPr>
        <w:t>Концентрации специфических примесей. 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Уровень загрязнения воздуха бензолом, ксилолами, толуолом и этилбензолом квалифицируется как низкий: средние и разовые концентрации не превышали установленных норм.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Результаты наблюдений за содержанием тяжелых металлов свидетельствуют о присутствии их в воздухе города.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lastRenderedPageBreak/>
        <w:t>Характеристики загрязнения атмосферного воздуха представлены в таблице 7.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Таблица 7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1276"/>
        <w:gridCol w:w="1139"/>
        <w:gridCol w:w="1139"/>
        <w:gridCol w:w="1166"/>
        <w:gridCol w:w="1153"/>
        <w:gridCol w:w="1304"/>
      </w:tblGrid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Загрязняющее вещество</w:t>
            </w:r>
          </w:p>
        </w:tc>
        <w:tc>
          <w:tcPr>
            <w:tcW w:w="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Характе-ристика</w:t>
            </w:r>
          </w:p>
        </w:tc>
        <w:tc>
          <w:tcPr>
            <w:tcW w:w="4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Месяц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V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56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Концентрация, в долях ПДК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7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Взвешенные вещества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серы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0,01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Оксид углерода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Диоксид азота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0,8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Бензол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qср.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after="0" w:line="240" w:lineRule="auto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Ксилолы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Толуол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  <w:tr w:rsidR="00CC497E" w:rsidRPr="00CC497E" w:rsidTr="00CC497E">
        <w:trPr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Этилбензол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qмакс.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7E" w:rsidRPr="00CC497E" w:rsidRDefault="00CC497E" w:rsidP="00CC497E">
            <w:pPr>
              <w:spacing w:before="107" w:after="107" w:line="240" w:lineRule="auto"/>
              <w:jc w:val="both"/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</w:pPr>
            <w:r w:rsidRPr="00CC497E">
              <w:rPr>
                <w:rFonts w:ascii="Arial" w:eastAsia="Times New Roman" w:hAnsi="Arial" w:cs="Arial"/>
                <w:color w:val="7D7D7D"/>
                <w:sz w:val="14"/>
                <w:szCs w:val="14"/>
                <w:lang w:eastAsia="ru-RU"/>
              </w:rPr>
              <w:t>-</w:t>
            </w:r>
          </w:p>
        </w:tc>
      </w:tr>
    </w:tbl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sz w:val="14"/>
          <w:lang w:eastAsia="ru-RU"/>
        </w:rPr>
        <w:t>III. Радиационная обстановка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Правительством Ленинградской области в рамках реализации своих полномочий в области обеспечения радиационной безопасности в соответствии с полномочиями, отнесенными к ведению субъектов Российской Федерации, при тесном взаимодействии с территориальными федеральными органами исполнительной власти, осуществляющими государственный надзор и контроль в области обеспечения радиационной безопасности, организовано проведение комплекса мероприятий в сфере  обеспечения радиационной безопасности.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          На территории Ленинградской области обеспечено функционирование информационно-измерительной сети автоматизированной системы контроля радиационной обстановки (АСКРО) Ленинградской области.          Информационная сеть АСКРО Ленинградской области  по состоянию на начало 2015 года состояла из 16-ти стационарных постов контроля мощности эквивалентной дозы (МЭД), один из которых снабжен автоматическим метеорологическим постом; двух  информационно-управляющих центров (ИУЦ), расположенных в Комитете по природным ресурсам Ленинградской области и Санкт-Петербургском центре по гидрометеорологии и мониторингу окружающей среды с региональными функциями. Посты контроля (ПК) МЭД расположены по территории области в основном в 120-километровой зоне от Ленинградской атомной станции в районе размещения радиационно опасных предприятий, ИУЦ обеспечивают непрерывный контроль радиационной и метеорологической обстановки в местах установки ПК. Все ПК оборудованы датчиками, обеспечивающими  измерение МЭД в диапазоне от 10 мкр/ч (0,1 мкЗв/ч) до 50 Р/ч (0,5 Зв/ч) и блоками, обеспечивающими накопление данных и передачу их по запросу из центра. В июне 2015 года в целях расширения информационной сети АСКРО установлен дополнительный пост контроля в городе Кириши.      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         В течение первого полугодия 2015 года на постах контроля информационной сети АСКРО проведено более 25000 измерений МЭД, согласно результатам измерений радиационный фон находился в пределах 0,05-0,29 мкЗв/ч, что соответствует многолетним среднегодовым естественным значениям.            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         За отчетный период 2015 года обеспечено дальнейшее функционирование региональной системы государственного учета и контроля радиоактивных веществ (РВ) и радиоактивных отходов (РАО)  в Ленинградской области. По поручению Комитета по природным ресурсам Ленинградской области комплекс мер по функционированию региональной системы государственного учета и контроля РВ и РАО реализует ОАО «Радиевый институт имени В.Г. Хлопина» Государственной корпорации по атомной энергии «Росатом». В отчетном периоде осуществлялся непрерывный мониторинг изменений состояния и перемещений радионуклидных источников, используемых и производимых предприятиями на территории Ленинградской области. Данные федерального статистического наблюдения и оперативной отчетности передавались в ЦИАЦ в сроки, установленные в нормативных документах, действующих в системе СГУК РВ и РАО. Случаев утери, хищения, несанкционированного использования РВ и РАО не зарегистрировано.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мае 2015 года в рамках действующей государственной системы оценки  радиационной безопасности населения Ленинградской области, в соответствии с Федеральным законом «О радиационной безопасности», постановлением Правительства Российской Федерации от 28.01.1997 №93 «О порядке разработки радиационно-гигиенических паспортов организаций и территорий» Комитетом по природным ресурсам Ленинградской области завершено проведение радиационно-гигиенической паспортизации Ленинградской области. В соответствии с требованиями действующих нормативных документов подготовлен Радиационно-гигиенический паспорт территории Ленинградской области за 2014 год, указанный документ получил положительное заключение Управления Роспотребнадзора по Ленинградской области и был в установленные сроки направлен в Федеральную службу по надзору в сфере защиты прав потребителей и благополучия человека.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lastRenderedPageBreak/>
        <w:t> Основные выводы проведенной радиационно-гигиенической паспортизации: в 2014 году на территории Ленинградской области радиационная обстановка стабильная, радиационных аварий и происшествий, приведших к переоблучению населения и персонала, зарегистрировано не было. Ведущий вклад в формирование коллективных доз облучения населения по-прежнему вносится природными источниками ионизирующего излучения (главным образом за счет облучения радоном и его дочерними продуктами распада, а также природного внешнего гамма-излучения) и составляет 92,07 %. На втором месте - медицинское облучение в ходе проведения диагностических рентгенологических процедур - 7,53 %. Третье место в структуре годовой эффективной коллективной дозы облучения населения занимает вклад от деятельности предприятий, использующих атомную энергию, при этом на персонал приходится 0,25 %, а на население – 0,01 %. Состояние ядерной и радиационной безопасности Ленинградской АЭС и других радиационно опасных предприятий оценивается Северо-Европейским межрегиональным территориальным управлением по надзору за ядерной и радиационной безопасностью Федеральной службы по экологическому, технологическому и атомному надзору (орган регулирования безопасности)  удовлетворительно.           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2014 году уровень средней годовой эффективной дозы  персонала группы А составил  1,69 мЗв/год (т.е. менее установленного согласно Нормам радиационной безопасности НРБ-99/2009 предела дозы почти в 12 раз). Средняя индивидуальная доза населения, проживающего в зоне наблюдения Ленинградской АЭС и Санкт-Петербургского института ядерной физики им. Б.П.Константинова РАН, составляет 0,004 мЗв/год (т.е. ниже установленного  согласно НРБ-99/2009 предела дозы более чем в 100 раз).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Радиационная обстановка и состояние окружающей среды в районе побережья Копорской губы Финского залива - расположения Ленинградской АЭС, Ленинградского отделения филиала ФГУП "РосРАО", НИТИ им. А.П.Александрова. Территория данного района находится в зоне воздействия "повседневных" выбросов/сбросов действующих локальных радиационных объектов – Ленинградской АЭС с 4-мя реакторами РБМК-1000, НИТИ им.А.П.Александрова, Ленинградского отделения филиала "Северо-Западный территориальный округ" ФГУП "РосРАО". Радиационный контроль объектов окружающей среды в зоне наблюдения перечисленных радиационно опасных объектов осуществляется лицензированными аккредитованными лабораториями в соответствии с согласованным и утвержденным в установленном порядке регламентом. Контроль мощности и состава газоаэрозольных выбросов/сбросов сточных вод осуществляется в непрерывном режиме штатной системой радиационного контроля Ленинградской АЭС. Согласно результатам контроля мощность дозы внешнего гамма-излучения на территории города Сосновый Бор и зоны наблюдения находится на уровне значений естественного фона. Основной вклад в суммарный  выброс в атмосферный воздух всех радиационно опасных предприятий в городе Сосновый Бор вносит Ленинградская АЭС.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Одним из приоритетных направлений деятельности в области обеспечения радиационной безопасности населения региона является мониторинг радиационной обстановки на территориях населенных пунктах, пострадавших вследствие аварии на Чернобыльской АЭС. В радиационно-гигиенический паспорт включена информация, характеризующая радиационную обстановку территории двух пострадавших районов - Кингисеппского и Волосовского - общей площадью 680,3 км</w:t>
      </w:r>
      <w:r w:rsidRPr="00CC497E">
        <w:rPr>
          <w:rFonts w:ascii="Georgia" w:eastAsia="Times New Roman" w:hAnsi="Georgia" w:cs="Arial"/>
          <w:color w:val="7D7D7D"/>
          <w:sz w:val="14"/>
          <w:szCs w:val="14"/>
          <w:vertAlign w:val="superscript"/>
          <w:lang w:eastAsia="ru-RU"/>
        </w:rPr>
        <w:t>2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. В 2014 году была продолжена работа по постоянному мониторингу доз внутреннего облучения населения на пострадавших территориях. Уточнен трехлетний анализ по основным демографическим параметрам населения, проживающего в населенных пунктах, подвергшихся радиационному воздействию в результате аварии  на  Чернобыльской АЭС, в сравнении с аналогичными сведениями по населению  Ленинградской области на основе статистических форм данных, подлежащего включению в Российский государственный медико-дозиметрический регистр. Исследования дозовой зависимости неонкологической  заболеваемости среди населения, пострадавшего в результате аварии на ЧАЭС не выявили статистически значимую связь показателей  заболеваемости и дозовой  нагрузки для всех классов. Индивидуальный риск  для  населения  указанной группы  в  отчетном году  составил  6,9*10-7 год-1,  что  является,  безусловно,  приемлемым  риском.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  В первом полугодии 2015 года радиационная обстановка на территории Ленинградской области оставалась стабильной и практически не отличалась от предыдущего года. Ограничение облучения населения Ленинградской области осуществляется путем регламентации контроля радиоактивности объектов окружающей среды (воды, воздуха, пищевых продуктов и пр.), разработки и согласования мероприятий на период возможных аварий и ликвидации их последствий. Радиационных аварий, приведших к повышенному облучению населения, в Ленинградской области не зарегистрировано.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Действующая в Ленинградской области система управления радиационной безопасностью и проводимый комплекс организационных, технических и санитарно-гигиенических мероприятий обеспечивают требуемый уровень радиационной безопасности для населения.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after="0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b/>
          <w:bCs/>
          <w:color w:val="7D7D7D"/>
          <w:sz w:val="14"/>
          <w:lang w:eastAsia="ru-RU"/>
        </w:rPr>
        <w:t>IV. Информация об исполнении органами местного самоуправления полномочий в сфере обращения с отходами за первый квартал 2015 года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 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Итоги мониторинга обращения с твердыми бытовыми отходами населения (далее – ТБО) в муниципальных образованиях Ленинградской области в первом квартале 2015 года следующие.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1. Средние нормы образования твердых бытовых отходов населения не изменились и составили для благоустроенного жилого фонда - 1,49 м3/чел. (в первом квартале 2014 года – 1,47 м3/чел., по итогам 2014 года – 1,48 м3/чел.), для неблагоустроенного - 1,57 м3 /чел. (норматив не изменился). В первом квартале 2015 года нормативы образования ТБО пересмотрены в сторону увеличения органами местного самоуправления нескольких поселений.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2. Средний тариф на утилизацию ТБО для населения в первом квартале 2014 года составил: 2,70 руб./м2 для жителей благоустроенного фонда и 2,73 руб./м2  для жителей неблагоустроенного фонда (в первом квартале 2014 года – 2,48 руб./м2 и 2,47 руб./м2 соответственно). Средний рост тарифа для населения составил 9 % за год. В поселениях тариф составил от 0,60 руб./м2 до 6,83 руб./м2.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Количество поселений, в которых тариф установлен исходя из числа жителей (руб./чел.), а не занимаемой площади (руб./м2), не изменилось в сравнении с предыдущим кварталом и составило 12 поселений. Средний тариф в первом квартале 2015 года составил 49,31 руб./чел. (в первом квартале 2014 года – 44,57 руб./чел., рост за год составил 10,6 %).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целом по области тарифы для населения обеспечивали покрытие расходов на утилизацию ТБО.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3. Общий объем образования ТБО в Ленинградской области за 1 квартал 2014 года составил 726,57 тыс.м3 (в первом квартале 2014 года - 674,1 тыс.м3, объемы образования ТБО выросли на 8 %). Превышение фактического объема образования отходов населения над нормативным составило 64,89 тыс.м3, что значительно больше, чем в первом квартале 2014 года (41,5  тыс.м3), и свидетельствует о необходимости пересмотра нормативов образования ТБО.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Как и в предыдущие отчетные периоды, валовые показатели образования муниципальных ТБО области определяют три муниципальных района - Всеволожский, Выборгский, Гатчинский (почти 50 % от всего объема образующихся ТБО).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4. Ситуация с размещением твердых бытовых отходов в первом квартале 2015 года не изменилась. Для размещения твердых бытовых отходов населения используются 16 лицензированных объектов размещения твердых бытовых и отдельных видов промышленных отходов, включенных в Государственный реестр объектов размещения отходов (ГРОРО), расположенных в 13 районах Ленинградской области: Бокситогорском (два объекта), Волосовском, Волховском, Всеволожском (два объекта), Выборгском, Гатчинском (два объекта), Кингисеппском, Киришском, Лужском, Приозерском, Сланцевском, Тихвинском, Тосненском районах. В первом квартале 2015 года получена бессрочная лицензия размещение отходов 4 класса опасности для ООО «Полигон ТБО» (Всеволожский район, дер. Лепсари).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Фактически не обеспеченными оборудованными лицензированными объектами размещения отходов остались Кировский, Лодейнопольский,  Ломоносовский, Подпорожский районы и Сосновоборский городской округ.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Отходы Ломоносовского района и Сосновоборского городского округа размещали на лицензированных объектах в Гатчинском, Волосовском и Кингисеппском районах, а также Санкт-Петербургском ГУП «Завод МПБО-2».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 xml:space="preserve">Для размещения отходов в Кировском районе использовалась временная площадка на 5 км Мгинского шоссе. В Лодейнопольском районе отходы размещали на объекте ООО «Спецтранс», обладавшем лицензией до декабря 2013 года, новая лицензия до настоящего времени не </w:t>
      </w: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lastRenderedPageBreak/>
        <w:t>получена. В Подпорожском районе отходы размещали на объекте ЗАО «Важинский гравийно-щебеночный завод», предназначенном для рекультивации.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Всего на не имеющих разрешительной документации объектах в первом квартале 2015 года размещено порядка 80 тыс. м3 муниципальных ТБО.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5. В разрезе Ленинградской области суммарные затраты на утилизацию муниципальных твердых бытовых отходов обеспечены платежами населения,  бюджет утилизации муниципальных ТБО незначительно профицитный.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Общие платежи в сфере оборота муниципальных ТБО составили 280,0 млн. руб. (в первом квартале 2014 года – 258,4 млн.руб.).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Общеобластной профицит бюджета в сфере обращения с отходами (платежи населения превышают выплаты организациям за транспортировку и размещение отходов) по итогам 1 квартала 2015 года составляет 34,2 млн. рублей, что более чем в 2,5 раза больше, чем в первом квартале 2014 года (13,6 млн. рублей).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Выявленное превышение покрывает затраты на ликвидацию органами местного самоуправления несанкционированных свалок и мероприятия по санитарной очистке территорий.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6. Общий объем затрат местных бюджетов на ликвидацию несанкционированных свалок в 1 квартале 2015 года составил порядка 11,9 млн. рублей (в первом квартале 2014 года – 10,0  млн. руб.). По данным отчетности за первый квартал 2015 года ликвидированы 34 свалки общим объемом около 4 тысяч куб. метров отходов. Наибольшее количество самовольных свалок ликвидировано на территории МО «Всеволожский район».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7. Средневзвешенный тариф на транспортирование  отходов вырос на 4 % и составил 326 руб./куб.м (в предыдущем квартале 310,4  руб./куб.м.). Тарифы на транспортирование ТБО как и ранее существенно варьируют в разрезе муниципальных поселений: от  42 до 789 руб./куб.м. Наименьший среднерайонный тариф на транспортирование отходов зафиксирован в Подпорожском районе (177,15 руб./куб.м.), наибольший – в Бокситогорском районе (511,86 руб./куб.м.).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8. Тарифы на захоронение (размещение) ТБО регулируются Комитетом по тарифам и ценовой политике Ленинградской области (ЛенРТК). На 2014 год утверждены тарифы для всех лицензированных объектов размещения отходов, а также для двух нелицензированных объектов (ООО «Грюнбург» площадка на 5 км Мгинского шоссе в Кировском районе и ООО «Спецтранс» в Лодейнопольском районе).  Согласно приказам ЛенРТК увеличение тарифов предусматривается в 2015 году однократно с 01 июля, соответственно, в течение первого квартала 2015 года не произошло увеличения тарифов на размещение отходов. В предыдущие годы среднее увеличение тарифов в течение года составляло от 4 до 15 %.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В течение 2014 года продолжено внедрение тарифов на размещение отходов в весовых показателях, такие тарифы утверждены в настоящее время для девяти объектов (ОАО «Управляющая компания по обращению с отходами в Ленинградской области», ООО «Авто-беркут», ООО «Новый Свет-Эко», ООО «Экомониторинг», ООО «Грюнбург»). В первом квартале 2014 года весовые тарифы были утверждены для семи объектов.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Средний тариф на размещение отходов для организаций, принимающих отходы по объему, на первое полугодие 2015 года составил 101,4 руб./куб.м. Тарифы для разных организаций различаются почти в 3 раза: от 58,73 руб./куб.м. на полигоне ООО «Благоустройство» вблизи г. Пикалево до 144,41 руб./куб.м. на полигоне ООО «РАСЭМ» Выборгский район.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Средний тариф для организаций, осуществляющих весовой учет отходов, составил 611,31 руб./тонна при разбросе значений от 357,07 руб./тонна (ООО «Новый Свет-Эко») до 818,05 руб./тонна (полигон г. Сланцы ОАО «Управляющая компания по обращению с отходами в Ленинградской области»).</w:t>
      </w:r>
    </w:p>
    <w:p w:rsidR="00CC497E" w:rsidRPr="00CC497E" w:rsidRDefault="00CC497E" w:rsidP="00CC497E">
      <w:pPr>
        <w:shd w:val="clear" w:color="auto" w:fill="F6F6F6"/>
        <w:spacing w:before="107" w:after="107" w:line="240" w:lineRule="auto"/>
        <w:jc w:val="both"/>
        <w:rPr>
          <w:rFonts w:ascii="Georgia" w:eastAsia="Times New Roman" w:hAnsi="Georgia" w:cs="Arial"/>
          <w:color w:val="7D7D7D"/>
          <w:sz w:val="14"/>
          <w:szCs w:val="14"/>
          <w:lang w:eastAsia="ru-RU"/>
        </w:rPr>
      </w:pPr>
      <w:r w:rsidRPr="00CC497E">
        <w:rPr>
          <w:rFonts w:ascii="Georgia" w:eastAsia="Times New Roman" w:hAnsi="Georgia" w:cs="Arial"/>
          <w:color w:val="7D7D7D"/>
          <w:sz w:val="14"/>
          <w:szCs w:val="14"/>
          <w:lang w:eastAsia="ru-RU"/>
        </w:rPr>
        <w:t>9. Средневзвешенная себестоимость утилизации одного кубометра ТБО по области составила 375,86 руб./куб.м. Наибольшая себестоимость отмечается в поселениях Всеволожского, Выборгского, Лужского, Сланцевского районов и Сосновоборского городского округа. Доля стоимости размещения отходов в общих затратах, как и ранее, составляет от 26 % до 37 % для разных поселений.</w:t>
      </w:r>
    </w:p>
    <w:p w:rsidR="006908FE" w:rsidRDefault="006908FE"/>
    <w:sectPr w:rsidR="006908FE" w:rsidSect="0069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C497E"/>
    <w:rsid w:val="00107D86"/>
    <w:rsid w:val="002961B3"/>
    <w:rsid w:val="005537EB"/>
    <w:rsid w:val="00556A76"/>
    <w:rsid w:val="006908FE"/>
    <w:rsid w:val="009C7DC1"/>
    <w:rsid w:val="00A07563"/>
    <w:rsid w:val="00B16854"/>
    <w:rsid w:val="00BF4511"/>
    <w:rsid w:val="00C57999"/>
    <w:rsid w:val="00C823E7"/>
    <w:rsid w:val="00CC497E"/>
    <w:rsid w:val="00D80633"/>
    <w:rsid w:val="00EC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FE"/>
  </w:style>
  <w:style w:type="paragraph" w:styleId="1">
    <w:name w:val="heading 1"/>
    <w:basedOn w:val="a"/>
    <w:link w:val="10"/>
    <w:uiPriority w:val="9"/>
    <w:qFormat/>
    <w:rsid w:val="00CC497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49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7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97E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497E"/>
    <w:rPr>
      <w:color w:val="7D7D7D"/>
      <w:u w:val="single"/>
    </w:rPr>
  </w:style>
  <w:style w:type="character" w:styleId="a4">
    <w:name w:val="FollowedHyperlink"/>
    <w:basedOn w:val="a0"/>
    <w:uiPriority w:val="99"/>
    <w:semiHidden/>
    <w:unhideWhenUsed/>
    <w:rsid w:val="00CC497E"/>
    <w:rPr>
      <w:color w:val="7D7D7D"/>
      <w:u w:val="single"/>
    </w:rPr>
  </w:style>
  <w:style w:type="paragraph" w:styleId="a5">
    <w:name w:val="Normal (Web)"/>
    <w:basedOn w:val="a"/>
    <w:uiPriority w:val="99"/>
    <w:semiHidden/>
    <w:unhideWhenUsed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opback">
    <w:name w:val="topback"/>
    <w:basedOn w:val="a"/>
    <w:rsid w:val="00CC497E"/>
    <w:pPr>
      <w:pBdr>
        <w:top w:val="single" w:sz="4" w:space="0" w:color="C5C4C4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unt">
    <w:name w:val="count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oter-svidet">
    <w:name w:val="footer-svidet"/>
    <w:basedOn w:val="a"/>
    <w:rsid w:val="00CC497E"/>
    <w:pPr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color w:val="7D7D7D"/>
      <w:sz w:val="13"/>
      <w:szCs w:val="13"/>
      <w:lang w:eastAsia="ru-RU"/>
    </w:rPr>
  </w:style>
  <w:style w:type="paragraph" w:customStyle="1" w:styleId="fotname">
    <w:name w:val="fotname"/>
    <w:basedOn w:val="a"/>
    <w:rsid w:val="00CC497E"/>
    <w:pP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color w:val="7D7D7D"/>
      <w:sz w:val="13"/>
      <w:szCs w:val="13"/>
      <w:lang w:eastAsia="ru-RU"/>
    </w:rPr>
  </w:style>
  <w:style w:type="paragraph" w:customStyle="1" w:styleId="clear">
    <w:name w:val="clear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rigpan">
    <w:name w:val="rigpan"/>
    <w:basedOn w:val="a"/>
    <w:rsid w:val="00CC497E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7D7D7D"/>
      <w:sz w:val="15"/>
      <w:szCs w:val="15"/>
      <w:lang w:eastAsia="ru-RU"/>
    </w:rPr>
  </w:style>
  <w:style w:type="paragraph" w:customStyle="1" w:styleId="hr">
    <w:name w:val="hr"/>
    <w:basedOn w:val="a"/>
    <w:rsid w:val="00CC497E"/>
    <w:pPr>
      <w:spacing w:before="140" w:after="32" w:line="240" w:lineRule="auto"/>
    </w:pPr>
    <w:rPr>
      <w:rFonts w:eastAsia="Times New Roman" w:cs="Times New Roman"/>
      <w:szCs w:val="24"/>
      <w:lang w:eastAsia="ru-RU"/>
    </w:rPr>
  </w:style>
  <w:style w:type="paragraph" w:customStyle="1" w:styleId="vn2">
    <w:name w:val="vn2"/>
    <w:basedOn w:val="a"/>
    <w:rsid w:val="00CC497E"/>
    <w:pPr>
      <w:spacing w:before="215" w:after="107" w:line="240" w:lineRule="auto"/>
    </w:pPr>
    <w:rPr>
      <w:rFonts w:eastAsia="Times New Roman" w:cs="Times New Roman"/>
      <w:szCs w:val="24"/>
      <w:lang w:eastAsia="ru-RU"/>
    </w:rPr>
  </w:style>
  <w:style w:type="paragraph" w:customStyle="1" w:styleId="leftnews">
    <w:name w:val="leftnews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  <w:lang w:eastAsia="ru-RU"/>
    </w:rPr>
  </w:style>
  <w:style w:type="paragraph" w:customStyle="1" w:styleId="rightnews">
    <w:name w:val="rightnews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alendar">
    <w:name w:val="calendar"/>
    <w:basedOn w:val="a"/>
    <w:rsid w:val="00CC497E"/>
    <w:pPr>
      <w:spacing w:before="107"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crollable">
    <w:name w:val="scrollable"/>
    <w:basedOn w:val="a"/>
    <w:rsid w:val="00CC497E"/>
    <w:pPr>
      <w:spacing w:before="215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gmidnews">
    <w:name w:val="bg_midnews"/>
    <w:basedOn w:val="a"/>
    <w:rsid w:val="00CC497E"/>
    <w:pPr>
      <w:spacing w:before="100" w:beforeAutospacing="1" w:after="86" w:line="240" w:lineRule="auto"/>
    </w:pPr>
    <w:rPr>
      <w:rFonts w:eastAsia="Times New Roman" w:cs="Times New Roman"/>
      <w:szCs w:val="24"/>
      <w:lang w:eastAsia="ru-RU"/>
    </w:rPr>
  </w:style>
  <w:style w:type="paragraph" w:customStyle="1" w:styleId="bgminnews">
    <w:name w:val="bg_minnews"/>
    <w:basedOn w:val="a"/>
    <w:rsid w:val="00CC497E"/>
    <w:pPr>
      <w:spacing w:before="100" w:beforeAutospacing="1" w:after="100" w:afterAutospacing="1" w:line="240" w:lineRule="auto"/>
      <w:ind w:right="54"/>
    </w:pPr>
    <w:rPr>
      <w:rFonts w:eastAsia="Times New Roman" w:cs="Times New Roman"/>
      <w:szCs w:val="24"/>
      <w:lang w:eastAsia="ru-RU"/>
    </w:rPr>
  </w:style>
  <w:style w:type="paragraph" w:customStyle="1" w:styleId="bgbignews">
    <w:name w:val="bg_bignews"/>
    <w:basedOn w:val="a"/>
    <w:rsid w:val="00CC497E"/>
    <w:pPr>
      <w:spacing w:before="100" w:beforeAutospacing="1" w:after="107" w:line="240" w:lineRule="auto"/>
    </w:pPr>
    <w:rPr>
      <w:rFonts w:eastAsia="Times New Roman" w:cs="Times New Roman"/>
      <w:szCs w:val="24"/>
      <w:lang w:eastAsia="ru-RU"/>
    </w:rPr>
  </w:style>
  <w:style w:type="paragraph" w:customStyle="1" w:styleId="alink">
    <w:name w:val="alink"/>
    <w:basedOn w:val="a"/>
    <w:rsid w:val="00CC497E"/>
    <w:pPr>
      <w:spacing w:before="21" w:after="32" w:line="240" w:lineRule="auto"/>
    </w:pPr>
    <w:rPr>
      <w:rFonts w:ascii="Georgia" w:eastAsia="Times New Roman" w:hAnsi="Georgia" w:cs="Times New Roman"/>
      <w:color w:val="074F8E"/>
      <w:sz w:val="16"/>
      <w:szCs w:val="16"/>
      <w:lang w:eastAsia="ru-RU"/>
    </w:rPr>
  </w:style>
  <w:style w:type="paragraph" w:customStyle="1" w:styleId="grads">
    <w:name w:val="grads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chban">
    <w:name w:val="techban"/>
    <w:basedOn w:val="a"/>
    <w:rsid w:val="00CC497E"/>
    <w:pPr>
      <w:spacing w:before="100" w:beforeAutospacing="1" w:after="54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bgph">
    <w:name w:val="bgph"/>
    <w:basedOn w:val="a"/>
    <w:rsid w:val="00CC497E"/>
    <w:pPr>
      <w:shd w:val="clear" w:color="auto" w:fill="F6F6F6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gphtitle">
    <w:name w:val="bgph_title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listit">
    <w:name w:val="list_it"/>
    <w:basedOn w:val="a"/>
    <w:rsid w:val="00CC497E"/>
    <w:pPr>
      <w:shd w:val="clear" w:color="auto" w:fill="E7E5E5"/>
      <w:spacing w:before="54" w:after="54" w:line="240" w:lineRule="auto"/>
      <w:ind w:left="54" w:right="54"/>
      <w:jc w:val="center"/>
    </w:pPr>
    <w:rPr>
      <w:rFonts w:eastAsia="Times New Roman" w:cs="Times New Roman"/>
      <w:szCs w:val="24"/>
      <w:lang w:eastAsia="ru-RU"/>
    </w:rPr>
  </w:style>
  <w:style w:type="paragraph" w:customStyle="1" w:styleId="centmenu">
    <w:name w:val="centmenu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ullcontent">
    <w:name w:val="fullcontent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yesbord">
    <w:name w:val="yesbord"/>
    <w:basedOn w:val="a"/>
    <w:rsid w:val="00CC497E"/>
    <w:pPr>
      <w:pBdr>
        <w:top w:val="dotted" w:sz="4" w:space="0" w:color="646363"/>
        <w:left w:val="dotted" w:sz="4" w:space="0" w:color="646363"/>
        <w:bottom w:val="dotted" w:sz="4" w:space="0" w:color="646363"/>
        <w:right w:val="dotted" w:sz="4" w:space="0" w:color="646363"/>
      </w:pBdr>
      <w:shd w:val="clear" w:color="auto" w:fill="FFFFFF"/>
      <w:spacing w:before="107" w:after="107" w:line="240" w:lineRule="auto"/>
      <w:ind w:left="43" w:right="43"/>
    </w:pPr>
    <w:rPr>
      <w:rFonts w:eastAsia="Times New Roman" w:cs="Times New Roman"/>
      <w:szCs w:val="24"/>
      <w:lang w:eastAsia="ru-RU"/>
    </w:rPr>
  </w:style>
  <w:style w:type="paragraph" w:customStyle="1" w:styleId="list2">
    <w:name w:val="list2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old">
    <w:name w:val="bold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italic">
    <w:name w:val="italic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ru-RU"/>
    </w:rPr>
  </w:style>
  <w:style w:type="paragraph" w:customStyle="1" w:styleId="dbpform">
    <w:name w:val="dbpform"/>
    <w:basedOn w:val="a"/>
    <w:rsid w:val="00CC497E"/>
    <w:pPr>
      <w:pBdr>
        <w:top w:val="single" w:sz="4" w:space="0" w:color="4177A6"/>
        <w:left w:val="single" w:sz="4" w:space="0" w:color="4177A6"/>
        <w:bottom w:val="single" w:sz="4" w:space="0" w:color="4177A6"/>
        <w:right w:val="single" w:sz="4" w:space="0" w:color="4177A6"/>
      </w:pBdr>
      <w:shd w:val="clear" w:color="auto" w:fill="F3F1F1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bep">
    <w:name w:val="dbep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customStyle="1" w:styleId="editpage-time">
    <w:name w:val="editpage-time"/>
    <w:basedOn w:val="a"/>
    <w:rsid w:val="00CC497E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2"/>
      <w:szCs w:val="12"/>
      <w:lang w:eastAsia="ru-RU"/>
    </w:rPr>
  </w:style>
  <w:style w:type="paragraph" w:customStyle="1" w:styleId="playerban">
    <w:name w:val="playerban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lbloading">
    <w:name w:val="lbloading"/>
    <w:basedOn w:val="a"/>
    <w:rsid w:val="00CC497E"/>
    <w:pPr>
      <w:shd w:val="clear" w:color="auto" w:fill="ECE9D8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tems">
    <w:name w:val="items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e">
    <w:name w:val="active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ncl">
    <w:name w:val="incl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n1">
    <w:name w:val="n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n2">
    <w:name w:val="n2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ate">
    <w:name w:val="date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l">
    <w:name w:val="il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l2">
    <w:name w:val="il2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2">
    <w:name w:val="m2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3">
    <w:name w:val="m3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lvl2m">
    <w:name w:val="lvl2m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ur">
    <w:name w:val="cur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notbord">
    <w:name w:val="notbord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rabs">
    <w:name w:val="rabs"/>
    <w:basedOn w:val="a"/>
    <w:rsid w:val="00CC49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lvl2m1">
    <w:name w:val="lvl2m1"/>
    <w:basedOn w:val="a"/>
    <w:rsid w:val="00CC497E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customStyle="1" w:styleId="lvl2m2">
    <w:name w:val="lvl2m2"/>
    <w:basedOn w:val="a"/>
    <w:rsid w:val="00CC497E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l1">
    <w:name w:val="il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l21">
    <w:name w:val="il2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l3">
    <w:name w:val="il3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l22">
    <w:name w:val="il22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21">
    <w:name w:val="m2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31">
    <w:name w:val="m3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ur1">
    <w:name w:val="cur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E72C2C"/>
      <w:szCs w:val="24"/>
      <w:lang w:eastAsia="ru-RU"/>
    </w:rPr>
  </w:style>
  <w:style w:type="paragraph" w:customStyle="1" w:styleId="items1">
    <w:name w:val="items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ctive1">
    <w:name w:val="active1"/>
    <w:basedOn w:val="a"/>
    <w:rsid w:val="00CC4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ncl1">
    <w:name w:val="incl1"/>
    <w:basedOn w:val="a"/>
    <w:rsid w:val="00CC497E"/>
    <w:pPr>
      <w:spacing w:after="0" w:line="240" w:lineRule="auto"/>
      <w:ind w:left="107" w:right="107"/>
      <w:jc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n11">
    <w:name w:val="n1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color w:val="757472"/>
      <w:sz w:val="13"/>
      <w:szCs w:val="13"/>
      <w:lang w:eastAsia="ru-RU"/>
    </w:rPr>
  </w:style>
  <w:style w:type="paragraph" w:customStyle="1" w:styleId="n21">
    <w:name w:val="n2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ate1">
    <w:name w:val="date1"/>
    <w:basedOn w:val="a"/>
    <w:rsid w:val="00CC49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C497E"/>
    <w:rPr>
      <w:b/>
      <w:bCs/>
    </w:rPr>
  </w:style>
  <w:style w:type="character" w:styleId="a7">
    <w:name w:val="Emphasis"/>
    <w:basedOn w:val="a0"/>
    <w:uiPriority w:val="20"/>
    <w:qFormat/>
    <w:rsid w:val="00CC49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4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6486</Words>
  <Characters>36971</Characters>
  <Application>Microsoft Office Word</Application>
  <DocSecurity>0</DocSecurity>
  <Lines>308</Lines>
  <Paragraphs>86</Paragraphs>
  <ScaleCrop>false</ScaleCrop>
  <Company/>
  <LinksUpToDate>false</LinksUpToDate>
  <CharactersWithSpaces>43371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Marinkina</dc:creator>
  <cp:lastModifiedBy>Marinkina</cp:lastModifiedBy>
  <cp:revision>1</cp:revision>
  <dcterms:created xsi:type="dcterms:W3CDTF">2015-07-15T12:48:00Z</dcterms:created>
  <dcterms:modified xsi:type="dcterms:W3CDTF">2015-07-15T12:49:00Z</dcterms:modified>
</cp:coreProperties>
</file>