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imes New Roman" w:hAnsi="Times New Roman" w:eastAsia="Times New Roman"/>
          <w:b/>
          <w:color w:val="000000"/>
          <w:sz w:val="24"/>
          <w:szCs w:val="24"/>
          <w:lang w:eastAsia="ru-RU"/>
        </w:rPr>
      </w:pPr>
      <w:r>
        <w:rPr>
          <w:rFonts w:ascii="Times New Roman" w:hAnsi="Times New Roman" w:eastAsia="Times New Roman"/>
          <w:b/>
          <w:color w:val="000000"/>
          <w:sz w:val="24"/>
          <w:szCs w:val="24"/>
          <w:lang w:eastAsia="ru-RU"/>
        </w:rPr>
        <w:t xml:space="preserve">ИЗВЕЩЕНИЕ </w:t>
      </w:r>
    </w:p>
    <w:p>
      <w:pPr>
        <w:spacing w:after="0"/>
        <w:jc w:val="center"/>
        <w:rPr>
          <w:rFonts w:ascii="Times New Roman" w:hAnsi="Times New Roman" w:eastAsia="Times New Roman"/>
          <w:b/>
          <w:color w:val="000000"/>
          <w:sz w:val="24"/>
          <w:szCs w:val="24"/>
          <w:lang w:eastAsia="ru-RU"/>
        </w:rPr>
      </w:pPr>
      <w:r>
        <w:rPr>
          <w:rFonts w:ascii="Times New Roman" w:hAnsi="Times New Roman" w:eastAsia="Times New Roman"/>
          <w:b/>
          <w:color w:val="000000"/>
          <w:sz w:val="24"/>
          <w:szCs w:val="24"/>
          <w:lang w:eastAsia="ru-RU"/>
        </w:rPr>
        <w:t>о продаже муниципального имущества посредств</w:t>
      </w:r>
      <w:r>
        <w:rPr>
          <w:rFonts w:ascii="Times New Roman" w:hAnsi="Times New Roman" w:eastAsia="Times New Roman"/>
          <w:b/>
          <w:color w:val="000000"/>
          <w:sz w:val="24"/>
          <w:szCs w:val="24"/>
          <w:lang w:eastAsia="ru-RU"/>
        </w:rPr>
        <w:t>о</w:t>
      </w:r>
      <w:r>
        <w:rPr>
          <w:rFonts w:ascii="Times New Roman" w:hAnsi="Times New Roman" w:eastAsia="Times New Roman"/>
          <w:b/>
          <w:color w:val="000000"/>
          <w:sz w:val="24"/>
          <w:szCs w:val="24"/>
          <w:lang w:eastAsia="ru-RU"/>
        </w:rPr>
        <w:t>м публичного предложения</w:t>
      </w:r>
    </w:p>
    <w:p>
      <w:pPr>
        <w:spacing w:after="0"/>
        <w:jc w:val="center"/>
        <w:rPr>
          <w:rFonts w:ascii="Times New Roman" w:hAnsi="Times New Roman" w:eastAsia="Times New Roman"/>
          <w:b/>
          <w:color w:val="000000"/>
          <w:sz w:val="24"/>
          <w:szCs w:val="24"/>
          <w:lang w:eastAsia="ru-RU"/>
        </w:rPr>
      </w:pPr>
    </w:p>
    <w:p>
      <w:pPr>
        <w:spacing w:after="0"/>
        <w:ind w:firstLine="709"/>
        <w:jc w:val="both"/>
        <w:rPr>
          <w:rFonts w:ascii="Times New Roman" w:hAnsi="Times New Roman"/>
          <w:sz w:val="24"/>
          <w:szCs w:val="24"/>
        </w:rPr>
      </w:pPr>
      <w:r>
        <w:rPr>
          <w:rFonts w:ascii="Times New Roman" w:hAnsi="Times New Roman"/>
          <w:sz w:val="24"/>
          <w:szCs w:val="24"/>
        </w:rPr>
        <w:t xml:space="preserve"> На основании  постановления администрации муниципального образования Ломоносовский муниципальный район Ленинградской области от 22.08.2018 № 1406/18.</w:t>
      </w:r>
    </w:p>
    <w:p>
      <w:pPr>
        <w:pStyle w:val="13"/>
        <w:ind w:firstLine="708"/>
        <w:jc w:val="both"/>
        <w:rPr>
          <w:color w:val="000000"/>
        </w:rPr>
      </w:pPr>
      <w:r>
        <w:rPr>
          <w:color w:val="000000"/>
        </w:rPr>
        <w:t xml:space="preserve">Муниципальное казенное учреждение «Служба заказчика муниципального образования Ломоносовский муниципальный район»  сообщает о продаже автотранспортного средства муниципальной собственности МО Ломоносовский муниципальный район посредством публичного предложения с использованием открытой формы подачи предложений о приобретении имущества. </w:t>
      </w:r>
    </w:p>
    <w:p>
      <w:pPr>
        <w:pStyle w:val="13"/>
        <w:ind w:firstLine="708"/>
        <w:jc w:val="both"/>
        <w:rPr>
          <w:color w:val="000000"/>
        </w:rPr>
      </w:pPr>
      <w:r>
        <w:rPr>
          <w:color w:val="000000"/>
        </w:rPr>
        <w:t>На торги выставлено следующее автотранспортное средство муниципальной собственности с ценой первоначального предложения согласно отчетам оценки рыночной стоимости №</w:t>
      </w:r>
      <w:r>
        <w:t>А00063</w:t>
      </w:r>
      <w:r>
        <w:rPr>
          <w:color w:val="000000"/>
        </w:rPr>
        <w:t>, от 19.03.2018:</w:t>
      </w:r>
    </w:p>
    <w:tbl>
      <w:tblPr>
        <w:tblStyle w:val="9"/>
        <w:tblW w:w="96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015"/>
      </w:tblGrid>
      <w:tr>
        <w:trPr>
          <w:trHeight w:val="360" w:hRule="atLeast"/>
        </w:trPr>
        <w:tc>
          <w:tcPr>
            <w:tcW w:w="675" w:type="dxa"/>
          </w:tcPr>
          <w:p>
            <w:pPr>
              <w:pStyle w:val="13"/>
              <w:ind w:firstLine="0"/>
              <w:jc w:val="center"/>
              <w:rPr>
                <w:b/>
                <w:color w:val="000000"/>
              </w:rPr>
            </w:pPr>
            <w:r>
              <w:rPr>
                <w:b/>
                <w:color w:val="000000"/>
              </w:rPr>
              <w:t>Лот №</w:t>
            </w:r>
          </w:p>
        </w:tc>
        <w:tc>
          <w:tcPr>
            <w:tcW w:w="9015" w:type="dxa"/>
          </w:tcPr>
          <w:p>
            <w:pPr>
              <w:pStyle w:val="13"/>
              <w:ind w:left="34" w:firstLine="0"/>
              <w:jc w:val="center"/>
              <w:rPr>
                <w:b/>
                <w:color w:val="000000"/>
              </w:rPr>
            </w:pPr>
            <w:r>
              <w:rPr>
                <w:b/>
              </w:rPr>
              <w:t>Наименование и характеристика имущества, Начальная цена продажи имущества, Размер задатка</w:t>
            </w:r>
          </w:p>
        </w:tc>
      </w:tr>
      <w:tr>
        <w:tc>
          <w:tcPr>
            <w:tcW w:w="675" w:type="dxa"/>
          </w:tcPr>
          <w:p>
            <w:pPr>
              <w:pStyle w:val="15"/>
              <w:tabs>
                <w:tab w:val="left" w:pos="709"/>
              </w:tabs>
              <w:spacing w:after="0"/>
              <w:ind w:left="0"/>
              <w:jc w:val="both"/>
              <w:rPr>
                <w:rFonts w:ascii="Times New Roman" w:hAnsi="Times New Roman"/>
                <w:sz w:val="24"/>
                <w:szCs w:val="24"/>
              </w:rPr>
            </w:pPr>
            <w:r>
              <w:rPr>
                <w:rFonts w:ascii="Times New Roman" w:hAnsi="Times New Roman"/>
                <w:sz w:val="24"/>
                <w:szCs w:val="24"/>
              </w:rPr>
              <w:t>1.</w:t>
            </w:r>
          </w:p>
        </w:tc>
        <w:tc>
          <w:tcPr>
            <w:tcW w:w="9015" w:type="dxa"/>
          </w:tcPr>
          <w:p>
            <w:pPr>
              <w:pStyle w:val="15"/>
              <w:tabs>
                <w:tab w:val="left" w:pos="709"/>
              </w:tabs>
              <w:spacing w:after="0"/>
              <w:ind w:left="0" w:firstLine="600"/>
              <w:jc w:val="both"/>
              <w:rPr>
                <w:rFonts w:ascii="Times New Roman" w:hAnsi="Times New Roman"/>
                <w:sz w:val="24"/>
                <w:szCs w:val="24"/>
              </w:rPr>
            </w:pPr>
            <w:r>
              <w:rPr>
                <w:rFonts w:ascii="Times New Roman" w:hAnsi="Times New Roman"/>
                <w:sz w:val="24"/>
                <w:szCs w:val="24"/>
              </w:rPr>
              <w:t xml:space="preserve">      Автомобиль 3030 0000010, 2007 года выпуска, находящийся в собственности муниципального образования Ломоносовский муниципальный район Ленинградской области, тип ТС – автобус, номер двигателя JXFA 6R88390, тип кузова – фургон, идентификационный номер (VIN) XTF30300V70000299, цвет – белый.</w:t>
            </w:r>
            <w:bookmarkStart w:id="0" w:name="_GoBack"/>
            <w:bookmarkEnd w:id="0"/>
          </w:p>
          <w:p>
            <w:pPr>
              <w:pStyle w:val="15"/>
              <w:tabs>
                <w:tab w:val="left" w:pos="709"/>
              </w:tabs>
              <w:spacing w:after="0"/>
              <w:ind w:left="0" w:firstLine="600"/>
              <w:jc w:val="both"/>
              <w:rPr>
                <w:rFonts w:ascii="Times New Roman" w:hAnsi="Times New Roman"/>
                <w:sz w:val="24"/>
                <w:szCs w:val="24"/>
              </w:rPr>
            </w:pPr>
            <w:r>
              <w:rPr>
                <w:rFonts w:ascii="Times New Roman" w:hAnsi="Times New Roman"/>
                <w:sz w:val="24"/>
                <w:szCs w:val="24"/>
              </w:rPr>
              <w:t>Начальная цена продажи муниципального имущества установлена на основании отчета независимого оценщика (Отчет №А00063 об оценке рыночной стоимости транспортного средства 3030 0000010, 2007 года выпуска, составленный ООО «Корнелиус Консалтинг» 19.03.2018 года) в размере: 216116 (двести шестнадцать тысяч сто шестнадцать) рублей 79 копеек (с учетом НДС).</w:t>
            </w:r>
          </w:p>
          <w:p>
            <w:pPr>
              <w:spacing w:after="0"/>
              <w:ind w:firstLine="601"/>
              <w:jc w:val="both"/>
              <w:rPr>
                <w:rFonts w:ascii="Times New Roman" w:hAnsi="Times New Roman"/>
                <w:sz w:val="24"/>
                <w:szCs w:val="24"/>
              </w:rPr>
            </w:pPr>
            <w:r>
              <w:rPr>
                <w:rFonts w:ascii="Times New Roman" w:hAnsi="Times New Roman"/>
                <w:sz w:val="24"/>
                <w:szCs w:val="24"/>
              </w:rPr>
              <w:t>Задаток для участия в аукционе в размере 20% начальной цены, в размере: 43233 (сорок три тысячи двести тридцать три) рублей 36 копеек.</w:t>
            </w:r>
          </w:p>
        </w:tc>
      </w:tr>
    </w:tbl>
    <w:p>
      <w:pPr>
        <w:pStyle w:val="13"/>
        <w:ind w:firstLine="708"/>
        <w:jc w:val="both"/>
        <w:rPr>
          <w:i/>
          <w:color w:val="000000"/>
        </w:rPr>
      </w:pPr>
    </w:p>
    <w:p>
      <w:pPr>
        <w:pStyle w:val="13"/>
        <w:ind w:firstLine="708"/>
        <w:jc w:val="both"/>
      </w:pPr>
      <w:r>
        <w:rPr>
          <w:b/>
          <w:bCs/>
        </w:rPr>
        <w:t xml:space="preserve">Порядок, место, даты начала и окончания подачи заявок, предложений: </w:t>
      </w:r>
      <w:r>
        <w:t>заявка на участие в торгах посредством публичного предложения оформляется посредством заполнения бланка заявки в двух экземплярах по форме согласно Приложению № 1 к данному информационному сообщению. Одно лицо имеет право подать только одну заявку и только одно предложение о цене имущества, продаваемого на торгах посредством публичного предложения.</w:t>
      </w:r>
    </w:p>
    <w:p>
      <w:pPr>
        <w:pStyle w:val="13"/>
        <w:ind w:firstLine="708"/>
        <w:jc w:val="both"/>
      </w:pPr>
      <w:r>
        <w:t xml:space="preserve">Заявки на участие в торгах посредством публичного предложения принимаются с 24.08.2018 по 17.09.2018 в рабочие дни с понедельника по четверг в период времени с 09 часов 00 минут до 17 часов 00 минут, пятница с 09 часов 00 минут до 16 часов 00 минут по адресу: 198412, СПб, г. Ломоносов, ул. Владимирская, д.19/15 </w:t>
      </w:r>
    </w:p>
    <w:p>
      <w:pPr>
        <w:pStyle w:val="13"/>
        <w:ind w:firstLine="708"/>
        <w:jc w:val="both"/>
      </w:pPr>
      <w:r>
        <w:t>Заявка с прилагаемыми к ней документами регистрируется продавцом в журнале приема заявок с присвоением каждой заявке номера и указанием даты и времени подачи документов. На каждом экземпляре заявки продавцом делается отметка о принятии заявки с указанием ее номера, даты и времени принятия продавцом.</w:t>
      </w:r>
    </w:p>
    <w:p>
      <w:pPr>
        <w:pStyle w:val="13"/>
        <w:ind w:firstLine="708"/>
        <w:jc w:val="both"/>
        <w:rPr>
          <w:bCs/>
        </w:rPr>
      </w:pPr>
      <w:r>
        <w:rPr>
          <w:b/>
          <w:bCs/>
        </w:rPr>
        <w:t>Дата рассмотрения заявок и документов претендентов, признание претендентов участниками торгов посредством публичного предложения:</w:t>
      </w:r>
      <w:r>
        <w:rPr>
          <w:bCs/>
        </w:rPr>
        <w:t>19 сентября 2018 года в 14:00 по адресу: 198412, СПб, г. Ломоносов, ул. Владимирская, д. 18, каб. 15.</w:t>
      </w:r>
    </w:p>
    <w:p>
      <w:pPr>
        <w:pStyle w:val="13"/>
        <w:ind w:firstLine="708"/>
        <w:jc w:val="both"/>
        <w:rPr>
          <w:b/>
          <w:bCs/>
        </w:rPr>
      </w:pPr>
    </w:p>
    <w:p>
      <w:pPr>
        <w:pStyle w:val="13"/>
        <w:ind w:firstLine="708"/>
        <w:jc w:val="both"/>
        <w:rPr>
          <w:bCs/>
        </w:rPr>
      </w:pPr>
      <w:r>
        <w:rPr>
          <w:b/>
          <w:bCs/>
        </w:rPr>
        <w:t xml:space="preserve">Продажа имущества посредством публичного предложения </w:t>
      </w:r>
      <w:r>
        <w:rPr>
          <w:bCs/>
        </w:rPr>
        <w:t>проводится организатором продажи в присутствии членов комиссии по проведению продажи имущества  и участников 21 сентября 2018 года в 11:30  по адресу: 198412, СПб, г. Ломоносов, ул. Владимирская, д.19/15, актовый зал.</w:t>
      </w:r>
    </w:p>
    <w:p>
      <w:pPr>
        <w:pStyle w:val="13"/>
        <w:ind w:firstLine="708"/>
        <w:rPr>
          <w:b/>
          <w:bCs/>
        </w:rPr>
      </w:pPr>
    </w:p>
    <w:p>
      <w:pPr>
        <w:pStyle w:val="13"/>
        <w:ind w:firstLine="708"/>
        <w:rPr>
          <w:bCs/>
        </w:rPr>
      </w:pPr>
      <w:r>
        <w:rPr>
          <w:b/>
          <w:bCs/>
        </w:rPr>
        <w:t xml:space="preserve">Шаг понижения (величина снижения первоначального предложения) </w:t>
      </w:r>
      <w:r>
        <w:rPr>
          <w:bCs/>
        </w:rPr>
        <w:t xml:space="preserve">составляет не более 10% цены первоначального предложения: </w:t>
      </w:r>
    </w:p>
    <w:p>
      <w:pPr>
        <w:pStyle w:val="13"/>
        <w:ind w:firstLine="708"/>
        <w:rPr>
          <w:bCs/>
        </w:rPr>
      </w:pPr>
      <w:r>
        <w:rPr>
          <w:bCs/>
        </w:rPr>
        <w:t>а именно- 10000 (десять тысяч) рублей 00 копеек.</w:t>
      </w:r>
    </w:p>
    <w:p>
      <w:pPr>
        <w:pStyle w:val="13"/>
        <w:ind w:firstLine="708"/>
        <w:rPr>
          <w:b/>
          <w:bCs/>
        </w:rPr>
      </w:pPr>
    </w:p>
    <w:p>
      <w:pPr>
        <w:pStyle w:val="13"/>
        <w:ind w:firstLine="708"/>
        <w:rPr>
          <w:b/>
          <w:bCs/>
        </w:rPr>
      </w:pPr>
      <w:r>
        <w:rPr>
          <w:b/>
          <w:bCs/>
        </w:rPr>
        <w:t>Шаг аукциона (величина повышения цены):</w:t>
      </w:r>
    </w:p>
    <w:p>
      <w:pPr>
        <w:pStyle w:val="13"/>
        <w:ind w:firstLine="708"/>
        <w:rPr>
          <w:bCs/>
        </w:rPr>
      </w:pPr>
      <w:r>
        <w:rPr>
          <w:bCs/>
        </w:rPr>
        <w:t>-5000 (пять тысяч) рублей 00 копеек.</w:t>
      </w:r>
    </w:p>
    <w:p>
      <w:pPr>
        <w:pStyle w:val="13"/>
        <w:ind w:firstLine="708"/>
        <w:rPr>
          <w:b/>
          <w:bCs/>
        </w:rPr>
      </w:pPr>
    </w:p>
    <w:p>
      <w:pPr>
        <w:pStyle w:val="13"/>
        <w:ind w:firstLine="708"/>
        <w:rPr>
          <w:b/>
          <w:bCs/>
        </w:rPr>
      </w:pPr>
      <w:r>
        <w:rPr>
          <w:b/>
          <w:bCs/>
        </w:rPr>
        <w:t xml:space="preserve">Цена отсечения (минимальная цена предложения по которой может быть продано муниципальное имущество)- </w:t>
      </w:r>
      <w:r>
        <w:t>108058.40 (сто восемь тысяч пятьдесят восемь)</w:t>
      </w:r>
      <w:r>
        <w:rPr>
          <w:bCs/>
        </w:rPr>
        <w:t xml:space="preserve"> рублей 40 копеек.</w:t>
      </w:r>
      <w:r>
        <w:rPr>
          <w:b/>
          <w:bCs/>
        </w:rPr>
        <w:t xml:space="preserve"> </w:t>
      </w:r>
    </w:p>
    <w:p>
      <w:pPr>
        <w:pStyle w:val="13"/>
        <w:ind w:firstLine="708"/>
        <w:rPr>
          <w:b/>
          <w:bCs/>
        </w:rPr>
      </w:pPr>
    </w:p>
    <w:p>
      <w:pPr>
        <w:pStyle w:val="13"/>
        <w:ind w:firstLine="708"/>
        <w:rPr>
          <w:b/>
          <w:bCs/>
        </w:rPr>
      </w:pPr>
      <w:r>
        <w:rPr>
          <w:b/>
          <w:bCs/>
        </w:rPr>
        <w:t>Размер задатка, срок и порядок его внесения, реквизиты</w:t>
      </w:r>
    </w:p>
    <w:p>
      <w:pPr>
        <w:pStyle w:val="13"/>
        <w:ind w:firstLine="708"/>
        <w:rPr>
          <w:bCs/>
        </w:rPr>
      </w:pPr>
      <w:r>
        <w:rPr>
          <w:bCs/>
        </w:rPr>
        <w:t xml:space="preserve">Размер задатка составляет 20% от начальной цены продажи имущества. Задаток вносится участниками аукциона до подачи заявки, должен поступить не позднее 19.09.2018 на расчетный счет организатора аукциона. Порядок внесения задатка – безналичный расчет, путем перечисления суммы задатка на банковский счет. Документом, подтверждающим поступление задатка на счет, является выписка со счета продавца. </w:t>
      </w:r>
    </w:p>
    <w:p>
      <w:pPr>
        <w:pStyle w:val="13"/>
        <w:ind w:firstLine="708"/>
        <w:rPr>
          <w:b/>
          <w:bCs/>
        </w:rPr>
      </w:pPr>
      <w:r>
        <w:rPr>
          <w:bCs/>
        </w:rPr>
        <w:t>Информационное сообщение о проведении аукциона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r>
        <w:rPr>
          <w:b/>
          <w:bCs/>
        </w:rPr>
        <w:t xml:space="preserve"> </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Реквизиты счета для перечисления денежных средств:  </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ИНН 4720009036 КПП 472501001</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ОКТМО 41630424</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БИК 044106001</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Расчетный счет 40302810900003002107</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Банк: Отделение Ленинградское </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г. Санкт-Петербург</w:t>
      </w:r>
    </w:p>
    <w:p>
      <w:pPr>
        <w:spacing w:after="0"/>
        <w:jc w:val="both"/>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Получатель: УФК по Ленинградской области (КУМИ администрации Ломоносовского муниципального района, </w:t>
      </w:r>
      <w:r>
        <w:rPr>
          <w:rFonts w:ascii="Times New Roman" w:hAnsi="Times New Roman"/>
          <w:color w:val="000000"/>
          <w:sz w:val="24"/>
          <w:szCs w:val="24"/>
        </w:rPr>
        <w:t xml:space="preserve">л/с </w:t>
      </w:r>
      <w:r>
        <w:rPr>
          <w:rFonts w:ascii="Times New Roman" w:hAnsi="Times New Roman"/>
          <w:sz w:val="24"/>
          <w:szCs w:val="24"/>
        </w:rPr>
        <w:t>05453005020</w:t>
      </w:r>
      <w:r>
        <w:rPr>
          <w:rFonts w:ascii="Times New Roman" w:hAnsi="Times New Roman" w:eastAsia="Times New Roman"/>
          <w:color w:val="000000"/>
          <w:sz w:val="24"/>
          <w:szCs w:val="24"/>
          <w:lang w:eastAsia="ru-RU"/>
        </w:rPr>
        <w:t>)</w:t>
      </w:r>
    </w:p>
    <w:p>
      <w:pPr>
        <w:pStyle w:val="13"/>
        <w:ind w:firstLine="0"/>
        <w:jc w:val="both"/>
        <w:rPr>
          <w:color w:val="000000"/>
        </w:rPr>
      </w:pPr>
      <w:r>
        <w:rPr>
          <w:color w:val="000000"/>
        </w:rPr>
        <w:t>В назначении платежа указывать: «Обеспечение заявки на участие в аукционе по продаже муниципального имущества по лоту №1».</w:t>
      </w:r>
    </w:p>
    <w:p>
      <w:pPr>
        <w:pStyle w:val="13"/>
        <w:jc w:val="both"/>
        <w:rPr>
          <w:color w:val="000000"/>
        </w:rPr>
      </w:pPr>
      <w:r>
        <w:rPr>
          <w:color w:val="000000"/>
        </w:rPr>
        <w:tab/>
      </w:r>
    </w:p>
    <w:p>
      <w:pPr>
        <w:pStyle w:val="13"/>
        <w:ind w:firstLine="708"/>
        <w:jc w:val="both"/>
        <w:rPr>
          <w:b/>
        </w:rPr>
      </w:pPr>
      <w:r>
        <w:rPr>
          <w:b/>
        </w:rPr>
        <w:t>Порядок возвращения задатка:</w:t>
      </w:r>
    </w:p>
    <w:p>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lang w:eastAsia="ru-RU"/>
        </w:rPr>
        <w:t>Лицам, перечислившим задаток для участия в аукционе, денежные средства возвращаются в следующем порядке:</w:t>
      </w:r>
    </w:p>
    <w:p>
      <w:pPr>
        <w:widowControl w:val="0"/>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а) участникам аукциона, за исключением его победителя, - в течение 5 календарных дней со дня подведения итогов аукциона;</w:t>
      </w:r>
    </w:p>
    <w:p>
      <w:pPr>
        <w:pStyle w:val="13"/>
        <w:shd w:val="clear" w:color="auto" w:fill="FFFFFF"/>
        <w:ind w:firstLine="0"/>
        <w:jc w:val="both"/>
      </w:pPr>
      <w:r>
        <w:t>б) претендентам, не допущенным к участию в аукционе, - в течение 5 календарных дней со дня подписания протокола о признании претендентов участниками аукциона.</w:t>
      </w:r>
    </w:p>
    <w:p>
      <w:pPr>
        <w:pStyle w:val="13"/>
        <w:ind w:firstLine="0"/>
        <w:jc w:val="both"/>
      </w:pPr>
      <w:r>
        <w:t xml:space="preserve">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 </w:t>
      </w:r>
    </w:p>
    <w:p>
      <w:pPr>
        <w:pStyle w:val="13"/>
        <w:ind w:firstLine="708"/>
        <w:rPr>
          <w:b/>
          <w:bCs/>
        </w:rPr>
      </w:pPr>
    </w:p>
    <w:p>
      <w:pPr>
        <w:pStyle w:val="13"/>
        <w:ind w:firstLine="708"/>
        <w:rPr>
          <w:b/>
          <w:bCs/>
        </w:rPr>
      </w:pPr>
      <w:r>
        <w:rPr>
          <w:b/>
          <w:bCs/>
        </w:rPr>
        <w:t>Перечень представляемых покупателями муниципального имущества документов и требования к их оформлению</w:t>
      </w:r>
    </w:p>
    <w:p>
      <w:pPr>
        <w:pStyle w:val="13"/>
        <w:ind w:firstLine="708"/>
        <w:jc w:val="both"/>
      </w:pPr>
      <w:r>
        <w:t>Для участия в торгах посредством публичного предложения претендент представляет продавцу (лично или через своего полномочного представителя) в установленный срок заявку и иные документы в соответствии с перечнем, содержащимся в данном информационном сообщении о проведении торгов посредством публичного предложения.</w:t>
      </w:r>
    </w:p>
    <w:p>
      <w:pPr>
        <w:pStyle w:val="13"/>
        <w:ind w:firstLine="708"/>
        <w:jc w:val="both"/>
      </w:pPr>
      <w:r>
        <w:t>Одновременно с заявкой претенденты представляют следующие документы:</w:t>
      </w:r>
    </w:p>
    <w:p>
      <w:pPr>
        <w:pStyle w:val="13"/>
        <w:ind w:firstLine="708"/>
        <w:jc w:val="both"/>
      </w:pPr>
      <w:r>
        <w:t>1) юри</w:t>
      </w:r>
      <w:r>
        <w:rPr>
          <w:bCs/>
        </w:rPr>
        <w:t>дические лица:</w:t>
      </w:r>
    </w:p>
    <w:p>
      <w:pPr>
        <w:pStyle w:val="13"/>
        <w:jc w:val="both"/>
      </w:pPr>
      <w:r>
        <w:t>заверенные копии учредительных документов;</w:t>
      </w:r>
    </w:p>
    <w:p>
      <w:pPr>
        <w:pStyle w:val="13"/>
        <w:jc w:val="both"/>
      </w:pPr>
      <w: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13"/>
        <w:jc w:val="both"/>
      </w:pPr>
      <w: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13"/>
        <w:ind w:firstLine="708"/>
        <w:jc w:val="both"/>
        <w:rPr>
          <w:bCs/>
        </w:rPr>
      </w:pPr>
      <w:r>
        <w:rPr>
          <w:bCs/>
        </w:rPr>
        <w:t>2) физические лица</w:t>
      </w:r>
      <w:r>
        <w:t> предъявляют документ, удостоверяющий личность, или представляют копии всех его листов.</w:t>
      </w:r>
    </w:p>
    <w:p>
      <w:pPr>
        <w:pStyle w:val="13"/>
        <w:ind w:firstLine="708"/>
        <w:jc w:val="both"/>
        <w:rPr>
          <w:bCs/>
        </w:rPr>
      </w:pPr>
      <w: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13"/>
        <w:ind w:firstLine="708"/>
        <w:jc w:val="both"/>
      </w:pPr>
      <w: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pPr>
        <w:pStyle w:val="13"/>
        <w:ind w:firstLine="708"/>
        <w:jc w:val="both"/>
      </w:pPr>
      <w:r>
        <w:t>К данным документам (в том числе, к каждому тому) также прилагается их опись по форме согласно Приложению № 2. Заявка и такая опись составляются на русском языке, в двух экземплярах, один из которых остается у продавца, другой – у претендента.</w:t>
      </w:r>
    </w:p>
    <w:p>
      <w:pPr>
        <w:pStyle w:val="13"/>
        <w:ind w:firstLine="708"/>
        <w:jc w:val="both"/>
      </w:pPr>
      <w:r>
        <w:t>Документы, содержащие помарки, подчистки, исправления к регистрации не принимаются и не рассматриваются.</w:t>
      </w:r>
    </w:p>
    <w:p>
      <w:pPr>
        <w:pStyle w:val="13"/>
        <w:ind w:firstLine="708"/>
        <w:jc w:val="both"/>
        <w:rPr>
          <w:bCs/>
        </w:rPr>
      </w:pPr>
      <w:r>
        <w:t>Претендент не допускается к участию в торгах посредством публичного предложения по следующим основаниям</w:t>
      </w:r>
      <w:r>
        <w:rPr>
          <w:bCs/>
        </w:rPr>
        <w:t>:</w:t>
      </w:r>
    </w:p>
    <w:p>
      <w:pPr>
        <w:pStyle w:val="13"/>
        <w:jc w:val="both"/>
      </w:pPr>
      <w:r>
        <w:t xml:space="preserve">-представленные документы не подтверждают право претендента быть покупателем в соответствии с </w:t>
      </w:r>
      <w:r>
        <w:fldChar w:fldCharType="begin"/>
      </w:r>
      <w:r>
        <w:instrText xml:space="preserve"> HYPERLINK "consultantplus://offline/ref=B44BC8DA1171356F27FBC1D80C98F4E3FBB6BB824ACF23877414D75CA74A1EE833AD3DFE5A73ECF4q2d9M" </w:instrText>
      </w:r>
      <w:r>
        <w:fldChar w:fldCharType="separate"/>
      </w:r>
      <w:r>
        <w:t>законодательством</w:t>
      </w:r>
      <w:r>
        <w:fldChar w:fldCharType="end"/>
      </w:r>
      <w:r>
        <w:t xml:space="preserve"> Российской Федерации;</w:t>
      </w:r>
    </w:p>
    <w:p>
      <w:pPr>
        <w:pStyle w:val="13"/>
        <w:jc w:val="both"/>
      </w:pPr>
      <w: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pPr>
        <w:pStyle w:val="13"/>
        <w:jc w:val="both"/>
      </w:pPr>
      <w:r>
        <w:t>-заявка подана лицом, не уполномоченным претендентом на осуществление таких действий;</w:t>
      </w:r>
    </w:p>
    <w:p>
      <w:pPr>
        <w:pStyle w:val="13"/>
        <w:jc w:val="both"/>
      </w:pPr>
      <w:r>
        <w:t>-не подтверждено поступление в установленный срок задатка на счета, указанные в информационном сообщении.</w:t>
      </w:r>
    </w:p>
    <w:p>
      <w:pPr>
        <w:pStyle w:val="13"/>
        <w:ind w:firstLine="708"/>
        <w:jc w:val="both"/>
      </w:pPr>
      <w:r>
        <w:t>Перечень оснований отказа претенденту в участии в торгах посредством публичного предложения является исчерпывающим.</w:t>
      </w:r>
    </w:p>
    <w:p>
      <w:pPr>
        <w:pStyle w:val="13"/>
        <w:ind w:firstLine="708"/>
        <w:jc w:val="both"/>
      </w:pPr>
      <w:r>
        <w:t>До признания претендента участником торгов посредством публичного предложения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не позднее чем через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торгов посредством публичного предложения.</w:t>
      </w:r>
    </w:p>
    <w:p>
      <w:pPr>
        <w:pStyle w:val="13"/>
        <w:ind w:firstLine="708"/>
        <w:jc w:val="both"/>
        <w:rPr>
          <w:b/>
          <w:bCs/>
        </w:rPr>
      </w:pPr>
    </w:p>
    <w:p>
      <w:pPr>
        <w:pStyle w:val="13"/>
        <w:ind w:firstLine="708"/>
        <w:jc w:val="both"/>
        <w:rPr>
          <w:bCs/>
        </w:rPr>
      </w:pPr>
      <w:r>
        <w:rPr>
          <w:b/>
          <w:bCs/>
        </w:rPr>
        <w:t>Ограничения участия отдельных категорий физических лиц и юридических лиц в приватизации муниципального имущества</w:t>
      </w:r>
      <w:r>
        <w:t xml:space="preserve">: покупателями муниципального имущества могут быть любые физические и юридические лица, за исключением муниципальных унитарных предприятий, муниципальных учреждений, а также юридических лиц, в уставном капитале которых доля муниципальных образований превышает 25 процентов, кроме случаев, когда по решению </w:t>
      </w:r>
      <w:r>
        <w:rPr>
          <w:bCs/>
        </w:rPr>
        <w:t xml:space="preserve">органа местного самоуправления муниципальное имущество, </w:t>
      </w:r>
      <w:r>
        <w:t>а также исключительные права</w:t>
      </w:r>
      <w:r>
        <w:rPr>
          <w:bCs/>
        </w:rPr>
        <w:t xml:space="preserve"> могут быть 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 если иное не установлено Президентом Российской Федерации в отношении стратегических акционерных обществ.</w:t>
      </w:r>
    </w:p>
    <w:p>
      <w:pPr>
        <w:pStyle w:val="13"/>
        <w:ind w:firstLine="708"/>
        <w:jc w:val="both"/>
        <w:rPr>
          <w:b/>
        </w:rPr>
      </w:pPr>
    </w:p>
    <w:p>
      <w:pPr>
        <w:pStyle w:val="13"/>
        <w:ind w:firstLine="708"/>
        <w:jc w:val="both"/>
      </w:pPr>
      <w:r>
        <w:rPr>
          <w:b/>
        </w:rPr>
        <w:t>Порядок проведения продажи имущества и определения ее результатов</w:t>
      </w:r>
    </w:p>
    <w:p>
      <w:pPr>
        <w:pStyle w:val="13"/>
        <w:ind w:firstLine="708"/>
        <w:jc w:val="both"/>
      </w:pPr>
      <w:r>
        <w:t>Предложения о приобретении имущества заявляются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 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 В случае,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После завершения аукциона ведущий объявляет о продаже имущества, называет победителя продажи имущества, цену и номер карточки победителя.</w:t>
      </w:r>
    </w:p>
    <w:p>
      <w:pPr>
        <w:pStyle w:val="13"/>
        <w:ind w:firstLine="708"/>
      </w:pPr>
      <w:r>
        <w:t>Уведомление о признании участника продажи победителем выдается победителю или его полномочному представителю под расписку в день подведения итогов продажи имущества.</w:t>
      </w:r>
    </w:p>
    <w:p>
      <w:pPr>
        <w:pStyle w:val="13"/>
        <w:ind w:firstLine="708"/>
      </w:pPr>
      <w:r>
        <w:t>По результатам продажи имущества продавец и победитель продажи имущества (покупатель) не позднее чем через 5 рабочих дней с даты проведения продажи заключают в соответствии с законодательством Российской Федерации договор купли-продажи имущества.</w:t>
      </w:r>
    </w:p>
    <w:p>
      <w:pPr>
        <w:pStyle w:val="13"/>
        <w:ind w:firstLine="708"/>
      </w:pPr>
      <w:r>
        <w:t>Денежные средства в счет оплаты приватизируемого государственного или муниципального имущества подлежат перечислению победителем продажи имущества в установленном порядке в бюджет соответствующего уровня бюджетной системы Российской Федерации в размере и сроки, которые указаны в договоре купли-продажи, но не позднее 30 рабочих дней со дня заключения договора купли-продажи.</w:t>
      </w:r>
    </w:p>
    <w:p>
      <w:pPr>
        <w:pStyle w:val="13"/>
        <w:ind w:firstLine="0"/>
        <w:jc w:val="both"/>
      </w:pPr>
    </w:p>
    <w:p>
      <w:pPr>
        <w:pStyle w:val="13"/>
        <w:ind w:firstLine="709"/>
        <w:jc w:val="both"/>
        <w:rPr>
          <w:b/>
        </w:rPr>
      </w:pPr>
      <w:r>
        <w:rPr>
          <w:b/>
        </w:rPr>
        <w:t>Условия и сроки платежа, реквизиты счета:</w:t>
      </w:r>
    </w:p>
    <w:p>
      <w:pPr>
        <w:spacing w:after="0"/>
        <w:jc w:val="both"/>
        <w:rPr>
          <w:rFonts w:ascii="Times New Roman" w:hAnsi="Times New Roman" w:eastAsia="Times New Roman"/>
          <w:sz w:val="24"/>
          <w:szCs w:val="24"/>
          <w:lang w:eastAsia="ru-RU"/>
        </w:rPr>
      </w:pPr>
      <w:r>
        <w:rPr>
          <w:rFonts w:ascii="Times New Roman" w:hAnsi="Times New Roman"/>
          <w:sz w:val="24"/>
          <w:szCs w:val="24"/>
          <w:lang w:eastAsia="ru-RU"/>
        </w:rPr>
        <w:t xml:space="preserve">Оплата имущества победителем производится единовременно в течение десяти дней со дня заключения договора. </w:t>
      </w:r>
      <w:r>
        <w:rPr>
          <w:rFonts w:ascii="Times New Roman" w:hAnsi="Times New Roman" w:eastAsia="Times New Roman"/>
          <w:sz w:val="24"/>
          <w:szCs w:val="24"/>
          <w:lang w:eastAsia="ru-RU"/>
        </w:rPr>
        <w:t>Рассрочка платежа не предоставляется. Порядок внесения оплаты – безналичный расчет, путем перечисления суммы платежа на банковский счет.</w:t>
      </w:r>
    </w:p>
    <w:p>
      <w:pPr>
        <w:spacing w:after="0"/>
        <w:rPr>
          <w:rFonts w:ascii="Times New Roman" w:hAnsi="Times New Roman" w:eastAsia="Times New Roman"/>
          <w:sz w:val="24"/>
          <w:szCs w:val="24"/>
          <w:lang w:eastAsia="ru-RU"/>
        </w:rPr>
      </w:pPr>
    </w:p>
    <w:p>
      <w:pPr>
        <w:spacing w:after="0"/>
        <w:rPr>
          <w:rFonts w:ascii="Times New Roman" w:hAnsi="Times New Roman" w:eastAsia="Times New Roman"/>
          <w:sz w:val="24"/>
          <w:szCs w:val="24"/>
          <w:lang w:eastAsia="ru-RU"/>
        </w:rPr>
      </w:pPr>
      <w:r>
        <w:rPr>
          <w:rFonts w:ascii="Times New Roman" w:hAnsi="Times New Roman" w:eastAsia="Times New Roman"/>
          <w:sz w:val="24"/>
          <w:szCs w:val="24"/>
          <w:lang w:eastAsia="ru-RU"/>
        </w:rPr>
        <w:t>Реквизиты счета для оплаты:</w:t>
      </w:r>
    </w:p>
    <w:p>
      <w:pPr>
        <w:spacing w:after="0"/>
        <w:jc w:val="both"/>
        <w:rPr>
          <w:rFonts w:ascii="Times New Roman" w:hAnsi="Times New Roman" w:eastAsia="Times New Roman"/>
          <w:sz w:val="24"/>
          <w:szCs w:val="24"/>
          <w:lang w:eastAsia="ru-RU"/>
        </w:rPr>
      </w:pPr>
      <w:r>
        <w:rPr>
          <w:rFonts w:ascii="Times New Roman" w:hAnsi="Times New Roman" w:eastAsia="Times New Roman"/>
          <w:color w:val="000000"/>
          <w:sz w:val="24"/>
          <w:szCs w:val="24"/>
          <w:lang w:eastAsia="ru-RU"/>
        </w:rPr>
        <w:t>ИНН 4720009036, КПП 472501001, ОКТМО 41630424, КБК 923114 0205205000410, БИК 044106001, Расчетный счет 40101810200000010022, Банк: Отделение Ленинградское г. Санкт-Петербург, Получатель: УФК по Ленинградской области (КУМИ администрации Ломоносовского муниципального района).</w:t>
      </w:r>
    </w:p>
    <w:p>
      <w:pPr>
        <w:pStyle w:val="13"/>
        <w:ind w:firstLine="0"/>
        <w:jc w:val="both"/>
      </w:pPr>
      <w:r>
        <w:t>Назначение платежа: «За имущество по договору купли-продажи №__ от ___.___.2018 г.».</w:t>
      </w:r>
    </w:p>
    <w:p>
      <w:pPr>
        <w:pStyle w:val="13"/>
        <w:rPr>
          <w:color w:val="000000"/>
        </w:rPr>
      </w:pPr>
    </w:p>
    <w:p>
      <w:pPr>
        <w:pStyle w:val="13"/>
        <w:ind w:firstLine="0"/>
        <w:rPr>
          <w:color w:val="000000"/>
        </w:rPr>
      </w:pPr>
      <w:r>
        <w:rPr>
          <w:color w:val="000000"/>
        </w:rPr>
        <w:t>для перечисления НДС</w:t>
      </w:r>
      <w:r>
        <w:t xml:space="preserve"> </w:t>
      </w:r>
      <w:r>
        <w:rPr>
          <w:color w:val="000000"/>
        </w:rPr>
        <w:t>(18%) -  УФК по Ленинградской области (Межрайонная ИФНС №8 по Ленинградской области, ИНН 4725000012, КПП 781901001, Банк: Отделение Ленинградское г.Санкт-Петербург, БИК 044106001, счет 40101810200000010022, КБК 18210301000011000110).</w:t>
      </w:r>
    </w:p>
    <w:p>
      <w:pPr>
        <w:pStyle w:val="13"/>
        <w:rPr>
          <w:color w:val="000000"/>
        </w:rPr>
      </w:pPr>
      <w:r>
        <w:rPr>
          <w:color w:val="000000"/>
        </w:rPr>
        <w:t>Расходы по оформлению перехода права собственности на Объект в полном объёме несёт Покупатель.</w:t>
      </w:r>
    </w:p>
    <w:p>
      <w:pPr>
        <w:pStyle w:val="13"/>
        <w:ind w:firstLine="0"/>
        <w:jc w:val="both"/>
      </w:pPr>
    </w:p>
    <w:p>
      <w:pPr>
        <w:pStyle w:val="13"/>
        <w:ind w:firstLine="0"/>
        <w:jc w:val="both"/>
      </w:pPr>
      <w:r>
        <w:t>Контактное лицо: Лебедев Дмитрий Александрович  8 (812) 423-27-70</w:t>
      </w:r>
    </w:p>
    <w:sectPr>
      <w:footerReference r:id="rId3" w:type="default"/>
      <w:pgSz w:w="11906" w:h="16838"/>
      <w:pgMar w:top="1134" w:right="1134"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WenQuanYi Micro Hei"/>
    <w:panose1 w:val="00000000000000000000"/>
    <w:charset w:val="86"/>
    <w:family w:val="auto"/>
    <w:pitch w:val="default"/>
    <w:sig w:usb0="00000000" w:usb1="00000000" w:usb2="00000000" w:usb3="00000000" w:csb0="00000000" w:csb1="00000000"/>
  </w:font>
  <w:font w:name="Wingdings">
    <w:altName w:val="aakar"/>
    <w:panose1 w:val="05000000000000000000"/>
    <w:charset w:val="00"/>
    <w:family w:val="auto"/>
    <w:pitch w:val="default"/>
    <w:sig w:usb0="00000000" w:usb1="0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黑体">
    <w:altName w:val="WenQuanYi Micro Hei"/>
    <w:panose1 w:val="02010609060101010101"/>
    <w:charset w:val="00"/>
    <w:family w:val="modern"/>
    <w:pitch w:val="default"/>
    <w:sig w:usb0="800002BF" w:usb1="38CF7CFA" w:usb2="00000016" w:usb3="00000000" w:csb0="00040001" w:csb1="00000000"/>
  </w:font>
  <w:font w:name="Cambria">
    <w:altName w:val="Caladea"/>
    <w:panose1 w:val="02040503050406030204"/>
    <w:charset w:val="00"/>
    <w:family w:val="modern"/>
    <w:pitch w:val="default"/>
    <w:sig w:usb0="00000000" w:usb1="00000000" w:usb2="00000000" w:usb3="00000000" w:csb0="0000019F" w:csb1="00000000"/>
  </w:font>
  <w:font w:name="Calibri">
    <w:altName w:val="Arial"/>
    <w:panose1 w:val="020F0502020204030204"/>
    <w:charset w:val="86"/>
    <w:family w:val="decorative"/>
    <w:pitch w:val="default"/>
    <w:sig w:usb0="00000000" w:usb1="00000000" w:usb2="00000001" w:usb3="00000000" w:csb0="0000019F" w:csb1="00000000"/>
  </w:font>
  <w:font w:name="SimSun">
    <w:altName w:val="WenQuanYi Micro Hei"/>
    <w:panose1 w:val="00000000000000000000"/>
    <w:charset w:val="86"/>
    <w:family w:val="auto"/>
    <w:pitch w:val="default"/>
    <w:sig w:usb0="00000000" w:usb1="00000000" w:usb2="00000000" w:usb3="00000000" w:csb0="00000000" w:csb1="00000000"/>
  </w:font>
  <w:font w:name="Symbol">
    <w:altName w:val="Webdings"/>
    <w:panose1 w:val="05050102010706020507"/>
    <w:charset w:val="02"/>
    <w:family w:val="modern"/>
    <w:pitch w:val="default"/>
    <w:sig w:usb0="00000000" w:usb1="00000000" w:usb2="00000000" w:usb3="00000000" w:csb0="80000000" w:csb1="00000000"/>
  </w:font>
  <w:font w:name="Tahoma">
    <w:altName w:val="UKIJ Inchike"/>
    <w:panose1 w:val="020B0604030504040204"/>
    <w:charset w:val="00"/>
    <w:family w:val="decorative"/>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t>1</w: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characterSpacingControl w:val="doNotCompress"/>
  <w:compat>
    <w:compatSetting w:name="compatibilityMode" w:uri="http://schemas.microsoft.com/office/word" w:val="12"/>
  </w:compat>
  <w:rsids>
    <w:rsidRoot w:val="00FE677C"/>
    <w:rsid w:val="00011863"/>
    <w:rsid w:val="00024FC3"/>
    <w:rsid w:val="00034E3F"/>
    <w:rsid w:val="000367CD"/>
    <w:rsid w:val="00050841"/>
    <w:rsid w:val="000569F5"/>
    <w:rsid w:val="00090E86"/>
    <w:rsid w:val="00097423"/>
    <w:rsid w:val="000B11DB"/>
    <w:rsid w:val="000B4D98"/>
    <w:rsid w:val="000C34E8"/>
    <w:rsid w:val="000D3910"/>
    <w:rsid w:val="00103F00"/>
    <w:rsid w:val="001126DA"/>
    <w:rsid w:val="001646FF"/>
    <w:rsid w:val="00174FB7"/>
    <w:rsid w:val="00177B73"/>
    <w:rsid w:val="00183726"/>
    <w:rsid w:val="00197D6E"/>
    <w:rsid w:val="001A2841"/>
    <w:rsid w:val="001B103A"/>
    <w:rsid w:val="001C2800"/>
    <w:rsid w:val="001C7775"/>
    <w:rsid w:val="001D5D1F"/>
    <w:rsid w:val="002016CA"/>
    <w:rsid w:val="00206F76"/>
    <w:rsid w:val="00215604"/>
    <w:rsid w:val="00217928"/>
    <w:rsid w:val="00225F5D"/>
    <w:rsid w:val="00230FD3"/>
    <w:rsid w:val="00255F46"/>
    <w:rsid w:val="00261E95"/>
    <w:rsid w:val="00262F2F"/>
    <w:rsid w:val="002721B1"/>
    <w:rsid w:val="002B223E"/>
    <w:rsid w:val="002E223B"/>
    <w:rsid w:val="002F130E"/>
    <w:rsid w:val="002F2222"/>
    <w:rsid w:val="003014EA"/>
    <w:rsid w:val="0030662C"/>
    <w:rsid w:val="00312623"/>
    <w:rsid w:val="00313ACE"/>
    <w:rsid w:val="0031657A"/>
    <w:rsid w:val="0032000C"/>
    <w:rsid w:val="00320461"/>
    <w:rsid w:val="0033206D"/>
    <w:rsid w:val="00337EA0"/>
    <w:rsid w:val="00353DDC"/>
    <w:rsid w:val="00363AA0"/>
    <w:rsid w:val="00374C28"/>
    <w:rsid w:val="00384E87"/>
    <w:rsid w:val="00397119"/>
    <w:rsid w:val="003972B4"/>
    <w:rsid w:val="003B2302"/>
    <w:rsid w:val="003C3578"/>
    <w:rsid w:val="003E73B3"/>
    <w:rsid w:val="003F4986"/>
    <w:rsid w:val="004016CB"/>
    <w:rsid w:val="00402A3B"/>
    <w:rsid w:val="004571F1"/>
    <w:rsid w:val="004703D7"/>
    <w:rsid w:val="00473BE6"/>
    <w:rsid w:val="00481ABB"/>
    <w:rsid w:val="004847E5"/>
    <w:rsid w:val="00491DD1"/>
    <w:rsid w:val="004963DE"/>
    <w:rsid w:val="004A7D80"/>
    <w:rsid w:val="004C4EAB"/>
    <w:rsid w:val="004C75DF"/>
    <w:rsid w:val="004F233F"/>
    <w:rsid w:val="00517386"/>
    <w:rsid w:val="00571E26"/>
    <w:rsid w:val="00572E79"/>
    <w:rsid w:val="0057502C"/>
    <w:rsid w:val="00576C5F"/>
    <w:rsid w:val="00586401"/>
    <w:rsid w:val="005877D2"/>
    <w:rsid w:val="00595448"/>
    <w:rsid w:val="005A2349"/>
    <w:rsid w:val="005A2A1C"/>
    <w:rsid w:val="005B29FE"/>
    <w:rsid w:val="005B4132"/>
    <w:rsid w:val="005B4164"/>
    <w:rsid w:val="005C174C"/>
    <w:rsid w:val="005C2B2A"/>
    <w:rsid w:val="005E0AC1"/>
    <w:rsid w:val="00615E84"/>
    <w:rsid w:val="00624E8E"/>
    <w:rsid w:val="006374CF"/>
    <w:rsid w:val="00640ABA"/>
    <w:rsid w:val="0065754C"/>
    <w:rsid w:val="00695A86"/>
    <w:rsid w:val="00696497"/>
    <w:rsid w:val="006B0562"/>
    <w:rsid w:val="006C4BA6"/>
    <w:rsid w:val="006D4650"/>
    <w:rsid w:val="006D5561"/>
    <w:rsid w:val="006D7BA3"/>
    <w:rsid w:val="006F4F57"/>
    <w:rsid w:val="006F5284"/>
    <w:rsid w:val="006F5648"/>
    <w:rsid w:val="007339F9"/>
    <w:rsid w:val="00753EA3"/>
    <w:rsid w:val="00777ED1"/>
    <w:rsid w:val="007800D0"/>
    <w:rsid w:val="00790A76"/>
    <w:rsid w:val="007A3C30"/>
    <w:rsid w:val="007A45A8"/>
    <w:rsid w:val="007A48C5"/>
    <w:rsid w:val="007B13F1"/>
    <w:rsid w:val="0083372F"/>
    <w:rsid w:val="0084613C"/>
    <w:rsid w:val="00852B42"/>
    <w:rsid w:val="008607C1"/>
    <w:rsid w:val="00862074"/>
    <w:rsid w:val="008870B1"/>
    <w:rsid w:val="00890744"/>
    <w:rsid w:val="008B0E60"/>
    <w:rsid w:val="008B489D"/>
    <w:rsid w:val="008B6973"/>
    <w:rsid w:val="008D5AA8"/>
    <w:rsid w:val="00905C3A"/>
    <w:rsid w:val="0091784E"/>
    <w:rsid w:val="009420AE"/>
    <w:rsid w:val="00943A67"/>
    <w:rsid w:val="009458B4"/>
    <w:rsid w:val="0096523C"/>
    <w:rsid w:val="00970E88"/>
    <w:rsid w:val="009918A0"/>
    <w:rsid w:val="009B00FB"/>
    <w:rsid w:val="009B26FA"/>
    <w:rsid w:val="009C7DB3"/>
    <w:rsid w:val="009E2662"/>
    <w:rsid w:val="009E482F"/>
    <w:rsid w:val="009E4BDA"/>
    <w:rsid w:val="009E6BE6"/>
    <w:rsid w:val="009F006A"/>
    <w:rsid w:val="00A0136C"/>
    <w:rsid w:val="00A03DB2"/>
    <w:rsid w:val="00A15F4F"/>
    <w:rsid w:val="00A22D03"/>
    <w:rsid w:val="00A23650"/>
    <w:rsid w:val="00A32BF1"/>
    <w:rsid w:val="00A36F7C"/>
    <w:rsid w:val="00A436AC"/>
    <w:rsid w:val="00A43D70"/>
    <w:rsid w:val="00A53E96"/>
    <w:rsid w:val="00A54323"/>
    <w:rsid w:val="00A61C4A"/>
    <w:rsid w:val="00A709C2"/>
    <w:rsid w:val="00A76479"/>
    <w:rsid w:val="00A84921"/>
    <w:rsid w:val="00AA557E"/>
    <w:rsid w:val="00AC32D1"/>
    <w:rsid w:val="00AC7E66"/>
    <w:rsid w:val="00AD64BF"/>
    <w:rsid w:val="00AE400A"/>
    <w:rsid w:val="00AE6E4D"/>
    <w:rsid w:val="00B05BFD"/>
    <w:rsid w:val="00B05C3F"/>
    <w:rsid w:val="00B10969"/>
    <w:rsid w:val="00B21F0A"/>
    <w:rsid w:val="00B62421"/>
    <w:rsid w:val="00B74430"/>
    <w:rsid w:val="00B82245"/>
    <w:rsid w:val="00B82A5E"/>
    <w:rsid w:val="00BB3DBF"/>
    <w:rsid w:val="00BC0089"/>
    <w:rsid w:val="00BC1736"/>
    <w:rsid w:val="00BD36ED"/>
    <w:rsid w:val="00BD76CE"/>
    <w:rsid w:val="00C17F7A"/>
    <w:rsid w:val="00C36E3F"/>
    <w:rsid w:val="00C36EAB"/>
    <w:rsid w:val="00C40275"/>
    <w:rsid w:val="00C44DDB"/>
    <w:rsid w:val="00CA765D"/>
    <w:rsid w:val="00CB6117"/>
    <w:rsid w:val="00CB6640"/>
    <w:rsid w:val="00CD1C7B"/>
    <w:rsid w:val="00CD2F15"/>
    <w:rsid w:val="00CE6536"/>
    <w:rsid w:val="00CE78D9"/>
    <w:rsid w:val="00CF09D0"/>
    <w:rsid w:val="00CF4D4D"/>
    <w:rsid w:val="00D01212"/>
    <w:rsid w:val="00D07657"/>
    <w:rsid w:val="00D10EF4"/>
    <w:rsid w:val="00D46420"/>
    <w:rsid w:val="00D55C0B"/>
    <w:rsid w:val="00D80BA0"/>
    <w:rsid w:val="00D82E7A"/>
    <w:rsid w:val="00D86778"/>
    <w:rsid w:val="00D86F94"/>
    <w:rsid w:val="00DA0D7C"/>
    <w:rsid w:val="00DA6EAB"/>
    <w:rsid w:val="00DD20AC"/>
    <w:rsid w:val="00DE6162"/>
    <w:rsid w:val="00DF515C"/>
    <w:rsid w:val="00E1113A"/>
    <w:rsid w:val="00E16B4B"/>
    <w:rsid w:val="00E2058C"/>
    <w:rsid w:val="00E20596"/>
    <w:rsid w:val="00E2306C"/>
    <w:rsid w:val="00E25C79"/>
    <w:rsid w:val="00E33444"/>
    <w:rsid w:val="00E42DC9"/>
    <w:rsid w:val="00E50F49"/>
    <w:rsid w:val="00E52E4C"/>
    <w:rsid w:val="00E54D2A"/>
    <w:rsid w:val="00E57634"/>
    <w:rsid w:val="00E659AD"/>
    <w:rsid w:val="00EF0948"/>
    <w:rsid w:val="00EF17DF"/>
    <w:rsid w:val="00F03CA4"/>
    <w:rsid w:val="00F15597"/>
    <w:rsid w:val="00F206DC"/>
    <w:rsid w:val="00F2319D"/>
    <w:rsid w:val="00F23EAC"/>
    <w:rsid w:val="00F242DE"/>
    <w:rsid w:val="00F6760B"/>
    <w:rsid w:val="00F85DCC"/>
    <w:rsid w:val="00FC3F8B"/>
    <w:rsid w:val="00FE677C"/>
    <w:rsid w:val="7FF3CFDD"/>
  </w:rsids>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atentStyles>
  <w:style w:type="paragraph" w:default="1" w:styleId="1">
    <w:name w:val="Normal"/>
    <w:qFormat/>
    <w:uiPriority w:val="0"/>
    <w:pPr>
      <w:spacing w:after="200"/>
    </w:pPr>
    <w:rPr>
      <w:rFonts w:ascii="Calibri" w:hAnsi="Calibri" w:eastAsia="Calibri" w:cs="Times New Roman"/>
      <w:sz w:val="22"/>
      <w:szCs w:val="22"/>
      <w:lang w:val="ru-RU" w:eastAsia="en-US"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4"/>
    <w:unhideWhenUsed/>
    <w:uiPriority w:val="99"/>
    <w:pPr>
      <w:spacing w:after="0"/>
    </w:pPr>
    <w:rPr>
      <w:rFonts w:ascii="Tahoma" w:hAnsi="Tahoma"/>
      <w:sz w:val="16"/>
      <w:szCs w:val="16"/>
    </w:rPr>
  </w:style>
  <w:style w:type="paragraph" w:styleId="3">
    <w:name w:val="header"/>
    <w:basedOn w:val="1"/>
    <w:link w:val="18"/>
    <w:unhideWhenUsed/>
    <w:uiPriority w:val="99"/>
    <w:pPr>
      <w:tabs>
        <w:tab w:val="center" w:pos="4677"/>
        <w:tab w:val="right" w:pos="9355"/>
      </w:tabs>
    </w:pPr>
  </w:style>
  <w:style w:type="paragraph" w:styleId="4">
    <w:name w:val="Body Text"/>
    <w:basedOn w:val="1"/>
    <w:link w:val="12"/>
    <w:unhideWhenUsed/>
    <w:uiPriority w:val="0"/>
    <w:pPr>
      <w:suppressAutoHyphens/>
      <w:spacing w:after="120"/>
    </w:pPr>
    <w:rPr>
      <w:rFonts w:ascii="Times New Roman" w:hAnsi="Times New Roman" w:eastAsia="Times New Roman"/>
      <w:sz w:val="24"/>
      <w:szCs w:val="24"/>
      <w:lang w:eastAsia="ar-SA"/>
    </w:rPr>
  </w:style>
  <w:style w:type="paragraph" w:styleId="5">
    <w:name w:val="Title"/>
    <w:basedOn w:val="1"/>
    <w:link w:val="11"/>
    <w:qFormat/>
    <w:uiPriority w:val="0"/>
    <w:pPr>
      <w:autoSpaceDE w:val="0"/>
      <w:autoSpaceDN w:val="0"/>
      <w:spacing w:after="0"/>
      <w:jc w:val="center"/>
    </w:pPr>
    <w:rPr>
      <w:rFonts w:ascii="Times New Roman" w:hAnsi="Times New Roman" w:eastAsia="Times New Roman"/>
      <w:b/>
      <w:bCs/>
      <w:sz w:val="28"/>
      <w:szCs w:val="28"/>
      <w:lang w:eastAsia="ru-RU"/>
    </w:rPr>
  </w:style>
  <w:style w:type="paragraph" w:styleId="6">
    <w:name w:val="footer"/>
    <w:basedOn w:val="1"/>
    <w:link w:val="19"/>
    <w:unhideWhenUsed/>
    <w:uiPriority w:val="99"/>
    <w:pPr>
      <w:tabs>
        <w:tab w:val="center" w:pos="4677"/>
        <w:tab w:val="right" w:pos="9355"/>
      </w:tabs>
    </w:pPr>
  </w:style>
  <w:style w:type="character" w:styleId="8">
    <w:name w:val="Hyperlink"/>
    <w:unhideWhenUsed/>
    <w:uiPriority w:val="99"/>
    <w:rPr>
      <w:color w:val="0000FF"/>
      <w:u w:val="single"/>
    </w:rPr>
  </w:style>
  <w:style w:type="table" w:styleId="10">
    <w:name w:val="Table Grid"/>
    <w:basedOn w:val="9"/>
    <w:uiPriority w:val="0"/>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Название Знак"/>
    <w:link w:val="5"/>
    <w:uiPriority w:val="0"/>
    <w:rPr>
      <w:rFonts w:ascii="Times New Roman" w:hAnsi="Times New Roman" w:eastAsia="Times New Roman" w:cs="Times New Roman"/>
      <w:b/>
      <w:bCs/>
      <w:sz w:val="28"/>
      <w:szCs w:val="28"/>
      <w:lang w:eastAsia="ru-RU"/>
    </w:rPr>
  </w:style>
  <w:style w:type="character" w:customStyle="1" w:styleId="12">
    <w:name w:val="Основной текст Знак"/>
    <w:link w:val="4"/>
    <w:semiHidden/>
    <w:uiPriority w:val="0"/>
    <w:rPr>
      <w:rFonts w:ascii="Times New Roman" w:hAnsi="Times New Roman" w:eastAsia="Times New Roman" w:cs="Times New Roman"/>
      <w:sz w:val="24"/>
      <w:szCs w:val="24"/>
      <w:lang w:eastAsia="ar-SA"/>
    </w:rPr>
  </w:style>
  <w:style w:type="paragraph" w:customStyle="1" w:styleId="13">
    <w:name w:val="s_13"/>
    <w:basedOn w:val="1"/>
    <w:uiPriority w:val="0"/>
    <w:pPr>
      <w:spacing w:after="0"/>
      <w:ind w:firstLine="720"/>
    </w:pPr>
    <w:rPr>
      <w:rFonts w:ascii="Times New Roman" w:hAnsi="Times New Roman" w:eastAsia="Times New Roman"/>
      <w:sz w:val="24"/>
      <w:szCs w:val="24"/>
      <w:lang w:eastAsia="ru-RU"/>
    </w:rPr>
  </w:style>
  <w:style w:type="character" w:customStyle="1" w:styleId="14">
    <w:name w:val="Текст выноски Знак"/>
    <w:link w:val="2"/>
    <w:semiHidden/>
    <w:uiPriority w:val="99"/>
    <w:rPr>
      <w:rFonts w:ascii="Tahoma" w:hAnsi="Tahoma" w:eastAsia="Calibri" w:cs="Tahoma"/>
      <w:sz w:val="16"/>
      <w:szCs w:val="16"/>
    </w:rPr>
  </w:style>
  <w:style w:type="paragraph" w:customStyle="1" w:styleId="15">
    <w:name w:val="List Paragraph"/>
    <w:basedOn w:val="1"/>
    <w:qFormat/>
    <w:uiPriority w:val="34"/>
    <w:pPr>
      <w:ind w:left="720"/>
      <w:contextualSpacing/>
    </w:pPr>
  </w:style>
  <w:style w:type="character" w:customStyle="1" w:styleId="16">
    <w:name w:val="Основной текст2"/>
    <w:uiPriority w:val="0"/>
    <w:rPr>
      <w:rFonts w:ascii="Times New Roman" w:hAnsi="Times New Roman" w:eastAsia="Times New Roman" w:cs="Times New Roman"/>
      <w:color w:val="000000"/>
      <w:spacing w:val="6"/>
      <w:w w:val="100"/>
      <w:position w:val="0"/>
      <w:sz w:val="20"/>
      <w:szCs w:val="20"/>
      <w:u w:val="none"/>
      <w:lang w:val="ru-RU"/>
    </w:rPr>
  </w:style>
  <w:style w:type="character" w:customStyle="1" w:styleId="17">
    <w:name w:val="apple-converted-space"/>
    <w:basedOn w:val="7"/>
    <w:uiPriority w:val="0"/>
  </w:style>
  <w:style w:type="character" w:customStyle="1" w:styleId="18">
    <w:name w:val="Верхний колонтитул Знак"/>
    <w:link w:val="3"/>
    <w:semiHidden/>
    <w:uiPriority w:val="99"/>
    <w:rPr>
      <w:sz w:val="22"/>
      <w:szCs w:val="22"/>
      <w:lang w:eastAsia="en-US"/>
    </w:rPr>
  </w:style>
  <w:style w:type="character" w:customStyle="1" w:styleId="19">
    <w:name w:val="Нижний колонтитул Знак"/>
    <w:link w:val="6"/>
    <w:uiPriority w:val="99"/>
    <w:rPr>
      <w:sz w:val="22"/>
      <w:szCs w:val="2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5</Pages>
  <Words>2066</Words>
  <Characters>11777</Characters>
  <Lines>98</Lines>
  <Paragraphs>27</Paragraphs>
  <TotalTime>0</TotalTime>
  <ScaleCrop>false</ScaleCrop>
  <LinksUpToDate>false</LinksUpToDate>
  <CharactersWithSpaces>13816</CharactersWithSpaces>
  <Application>WPS Office Сообщество_10.1.0.5672_F1E327BC-269C-435d-A152-05C5408002CA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2018-08-22T17:05:00Z</dcterms:created>
  <dc:creator>12</dc:creator>
  <cp:lastModifiedBy>rp</cp:lastModifiedBy>
  <cp:lastPrinted>2017-01-17T09:05:00Z</cp:lastPrinted>
  <dcterms:modified xsi:type="dcterms:W3CDTF">2018-08-31T16:07:39Z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1049-10.1.0.5672</vt:lpwstr>
  </property>
</Properties>
</file>